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BE7" w:rsidRDefault="000E6BE7" w:rsidP="00DA6E02">
      <w:pPr>
        <w:jc w:val="center"/>
        <w:rPr>
          <w:b/>
        </w:rPr>
      </w:pPr>
      <w:bookmarkStart w:id="0" w:name="_GoBack"/>
      <w:bookmarkEnd w:id="0"/>
    </w:p>
    <w:p w:rsidR="00530AB2" w:rsidRDefault="00530AB2" w:rsidP="00DA6E02">
      <w:pPr>
        <w:jc w:val="center"/>
        <w:rPr>
          <w:b/>
        </w:rPr>
      </w:pPr>
    </w:p>
    <w:p w:rsidR="00530AB2" w:rsidRDefault="00530AB2" w:rsidP="00DA6E02">
      <w:pPr>
        <w:jc w:val="center"/>
        <w:rPr>
          <w:b/>
        </w:rPr>
      </w:pPr>
    </w:p>
    <w:p w:rsidR="00530AB2" w:rsidRDefault="00530AB2" w:rsidP="00DA6E02">
      <w:pPr>
        <w:jc w:val="center"/>
        <w:rPr>
          <w:b/>
        </w:rPr>
      </w:pPr>
    </w:p>
    <w:p w:rsidR="00530AB2" w:rsidRDefault="00530AB2" w:rsidP="00DA6E02">
      <w:pPr>
        <w:jc w:val="center"/>
        <w:rPr>
          <w:b/>
        </w:rPr>
      </w:pPr>
    </w:p>
    <w:p w:rsidR="00530AB2" w:rsidRDefault="00530AB2" w:rsidP="00DA6E02">
      <w:pPr>
        <w:jc w:val="center"/>
        <w:rPr>
          <w:b/>
        </w:rPr>
      </w:pPr>
    </w:p>
    <w:p w:rsidR="00530AB2" w:rsidRDefault="00530AB2" w:rsidP="00DA6E02">
      <w:pPr>
        <w:jc w:val="center"/>
        <w:rPr>
          <w:b/>
        </w:rPr>
      </w:pPr>
    </w:p>
    <w:p w:rsidR="00530AB2" w:rsidRDefault="00530AB2" w:rsidP="00DA6E02">
      <w:pPr>
        <w:jc w:val="center"/>
        <w:rPr>
          <w:b/>
        </w:rPr>
      </w:pPr>
    </w:p>
    <w:p w:rsidR="00530AB2" w:rsidRDefault="00530AB2" w:rsidP="00DA6E02">
      <w:pPr>
        <w:jc w:val="center"/>
        <w:rPr>
          <w:b/>
        </w:rPr>
      </w:pPr>
    </w:p>
    <w:p w:rsidR="00751F01" w:rsidRDefault="00751F01" w:rsidP="00305DF2">
      <w:pPr>
        <w:jc w:val="center"/>
        <w:rPr>
          <w:b/>
        </w:rPr>
      </w:pPr>
    </w:p>
    <w:p w:rsidR="00751F01" w:rsidRDefault="00751F01" w:rsidP="00305DF2">
      <w:pPr>
        <w:jc w:val="center"/>
        <w:rPr>
          <w:b/>
        </w:rPr>
      </w:pPr>
    </w:p>
    <w:p w:rsidR="00751F01" w:rsidRDefault="00751F01" w:rsidP="00305DF2">
      <w:pPr>
        <w:jc w:val="center"/>
        <w:rPr>
          <w:b/>
        </w:rPr>
      </w:pPr>
    </w:p>
    <w:p w:rsidR="00751F01" w:rsidRDefault="00751F01" w:rsidP="00305DF2">
      <w:pPr>
        <w:jc w:val="center"/>
        <w:rPr>
          <w:b/>
        </w:rPr>
      </w:pPr>
    </w:p>
    <w:p w:rsidR="00751F01" w:rsidRDefault="00751F01" w:rsidP="00305DF2">
      <w:pPr>
        <w:jc w:val="center"/>
        <w:rPr>
          <w:b/>
        </w:rPr>
      </w:pPr>
    </w:p>
    <w:p w:rsidR="00751F01" w:rsidRDefault="00751F01" w:rsidP="00305DF2">
      <w:pPr>
        <w:jc w:val="center"/>
        <w:rPr>
          <w:b/>
        </w:rPr>
      </w:pPr>
    </w:p>
    <w:p w:rsidR="00751F01" w:rsidRDefault="00751F01" w:rsidP="00305DF2">
      <w:pPr>
        <w:jc w:val="center"/>
        <w:rPr>
          <w:b/>
        </w:rPr>
      </w:pPr>
    </w:p>
    <w:p w:rsidR="00751F01" w:rsidRDefault="00751F01" w:rsidP="00305DF2">
      <w:pPr>
        <w:jc w:val="center"/>
        <w:rPr>
          <w:b/>
        </w:rPr>
      </w:pPr>
    </w:p>
    <w:p w:rsidR="00437742" w:rsidRDefault="00CA01AF" w:rsidP="00297FA5">
      <w:pPr>
        <w:jc w:val="center"/>
        <w:rPr>
          <w:b/>
        </w:rPr>
      </w:pPr>
      <w:r w:rsidRPr="00437742">
        <w:rPr>
          <w:b/>
        </w:rPr>
        <w:t>Why Did You Move</w:t>
      </w:r>
      <w:r>
        <w:rPr>
          <w:b/>
        </w:rPr>
        <w:t>?</w:t>
      </w:r>
      <w:r w:rsidRPr="00437742">
        <w:rPr>
          <w:b/>
        </w:rPr>
        <w:t>: An Overview and Analysis of the Annual Social and Economic Supplement’s Reason for Move Write-In Expansion</w:t>
      </w:r>
    </w:p>
    <w:p w:rsidR="00BF5468" w:rsidRDefault="00BF5468" w:rsidP="00305DF2">
      <w:pPr>
        <w:jc w:val="center"/>
        <w:rPr>
          <w:b/>
        </w:rPr>
      </w:pPr>
    </w:p>
    <w:p w:rsidR="004C386B" w:rsidRDefault="00437742" w:rsidP="00305DF2">
      <w:pPr>
        <w:jc w:val="center"/>
        <w:rPr>
          <w:b/>
        </w:rPr>
      </w:pPr>
      <w:r>
        <w:rPr>
          <w:b/>
        </w:rPr>
        <w:t>David Ihrke</w:t>
      </w:r>
      <w:r w:rsidRPr="003C64AB">
        <w:rPr>
          <w:rStyle w:val="FootnoteReference"/>
        </w:rPr>
        <w:footnoteReference w:id="1"/>
      </w:r>
    </w:p>
    <w:p w:rsidR="004C386B" w:rsidRPr="00FE5415" w:rsidRDefault="004C386B" w:rsidP="004C386B">
      <w:pPr>
        <w:pStyle w:val="Default"/>
        <w:jc w:val="center"/>
        <w:rPr>
          <w:rFonts w:ascii="Times New Roman" w:hAnsi="Times New Roman" w:cs="Times New Roman"/>
          <w:bCs/>
          <w:sz w:val="20"/>
          <w:szCs w:val="20"/>
        </w:rPr>
      </w:pPr>
      <w:r w:rsidRPr="00FE5415">
        <w:rPr>
          <w:rFonts w:ascii="Times New Roman" w:hAnsi="Times New Roman" w:cs="Times New Roman"/>
          <w:bCs/>
          <w:sz w:val="20"/>
          <w:szCs w:val="20"/>
        </w:rPr>
        <w:t>U.S. Census Bureau</w:t>
      </w:r>
    </w:p>
    <w:p w:rsidR="004C386B" w:rsidRDefault="004C386B" w:rsidP="004C386B">
      <w:pPr>
        <w:pStyle w:val="Default"/>
        <w:contextualSpacing/>
        <w:jc w:val="center"/>
        <w:rPr>
          <w:rFonts w:ascii="Times New Roman" w:hAnsi="Times New Roman" w:cs="Times New Roman"/>
          <w:bCs/>
          <w:sz w:val="20"/>
          <w:szCs w:val="20"/>
        </w:rPr>
      </w:pPr>
    </w:p>
    <w:p w:rsidR="00172435" w:rsidRDefault="004C386B" w:rsidP="004C386B">
      <w:pPr>
        <w:jc w:val="center"/>
        <w:rPr>
          <w:sz w:val="20"/>
          <w:szCs w:val="20"/>
        </w:rPr>
      </w:pPr>
      <w:r w:rsidRPr="00EF3E43">
        <w:rPr>
          <w:sz w:val="20"/>
          <w:szCs w:val="20"/>
        </w:rPr>
        <w:t>SEHSD Working Paper Number</w:t>
      </w:r>
      <w:r w:rsidR="00012D17">
        <w:rPr>
          <w:sz w:val="20"/>
          <w:szCs w:val="20"/>
        </w:rPr>
        <w:t xml:space="preserve"> 2016</w:t>
      </w:r>
      <w:r w:rsidR="00012D17" w:rsidRPr="00351B14">
        <w:rPr>
          <w:sz w:val="20"/>
          <w:szCs w:val="20"/>
        </w:rPr>
        <w:t>-</w:t>
      </w:r>
      <w:r w:rsidR="00CA786C" w:rsidRPr="00CA786C">
        <w:rPr>
          <w:sz w:val="20"/>
          <w:szCs w:val="20"/>
        </w:rPr>
        <w:t>22</w:t>
      </w:r>
    </w:p>
    <w:p w:rsidR="00172435" w:rsidRDefault="00172435">
      <w:pPr>
        <w:spacing w:after="200" w:line="276" w:lineRule="auto"/>
        <w:rPr>
          <w:sz w:val="20"/>
          <w:szCs w:val="20"/>
        </w:rPr>
      </w:pPr>
      <w:r>
        <w:rPr>
          <w:sz w:val="20"/>
          <w:szCs w:val="20"/>
        </w:rPr>
        <w:br w:type="page"/>
      </w:r>
    </w:p>
    <w:p w:rsidR="007249D0" w:rsidRDefault="007249D0" w:rsidP="00172435">
      <w:pPr>
        <w:rPr>
          <w:b/>
        </w:rPr>
      </w:pPr>
      <w:r w:rsidRPr="007249D0">
        <w:rPr>
          <w:b/>
        </w:rPr>
        <w:lastRenderedPageBreak/>
        <w:t>Introduction</w:t>
      </w:r>
    </w:p>
    <w:p w:rsidR="00172435" w:rsidRPr="007249D0" w:rsidRDefault="00172435" w:rsidP="00172435">
      <w:pPr>
        <w:rPr>
          <w:b/>
        </w:rPr>
      </w:pPr>
    </w:p>
    <w:p w:rsidR="004A4036" w:rsidRDefault="00CA4111" w:rsidP="00744571">
      <w:pPr>
        <w:spacing w:line="480" w:lineRule="auto"/>
        <w:ind w:firstLine="720"/>
      </w:pPr>
      <w:r>
        <w:t>The reason for move question</w:t>
      </w:r>
      <w:r w:rsidR="00290FBC">
        <w:t xml:space="preserve">, </w:t>
      </w:r>
      <w:r w:rsidR="00070246" w:rsidRPr="00290FBC">
        <w:rPr>
          <w:i/>
        </w:rPr>
        <w:t>what</w:t>
      </w:r>
      <w:r w:rsidR="00290FBC" w:rsidRPr="00290FBC">
        <w:rPr>
          <w:i/>
        </w:rPr>
        <w:t xml:space="preserve"> </w:t>
      </w:r>
      <w:r w:rsidR="005941B9">
        <w:rPr>
          <w:i/>
        </w:rPr>
        <w:t>was (name’s)</w:t>
      </w:r>
      <w:r w:rsidR="00290FBC" w:rsidRPr="00290FBC">
        <w:rPr>
          <w:i/>
        </w:rPr>
        <w:t xml:space="preserve"> main reason for moving</w:t>
      </w:r>
      <w:r w:rsidR="00290FBC">
        <w:t>,</w:t>
      </w:r>
      <w:r>
        <w:t xml:space="preserve"> has been asked on the Annual Social and Economic Supplement (ASEC) of the Current Population Survey</w:t>
      </w:r>
      <w:r w:rsidR="007D0E12">
        <w:t xml:space="preserve"> (CPS) continuously since 1998. </w:t>
      </w:r>
      <w:r w:rsidR="005829D5" w:rsidRPr="00D36348">
        <w:t>There are currently 19 individual reason</w:t>
      </w:r>
      <w:r w:rsidR="00082242" w:rsidRPr="00D36348">
        <w:t xml:space="preserve"> for move </w:t>
      </w:r>
      <w:r w:rsidR="00D06441" w:rsidRPr="00D36348">
        <w:t>choices</w:t>
      </w:r>
      <w:r w:rsidR="00082242" w:rsidRPr="00D36348">
        <w:t xml:space="preserve">, </w:t>
      </w:r>
      <w:r w:rsidR="005D332D" w:rsidRPr="00D36348">
        <w:t>including</w:t>
      </w:r>
      <w:r w:rsidR="00082242" w:rsidRPr="00D36348">
        <w:t xml:space="preserve"> change in </w:t>
      </w:r>
      <w:r w:rsidR="00F7086F" w:rsidRPr="00D36348">
        <w:t>marital</w:t>
      </w:r>
      <w:r w:rsidR="00082242" w:rsidRPr="00D36348">
        <w:t xml:space="preserve"> status</w:t>
      </w:r>
      <w:r w:rsidR="005D332D" w:rsidRPr="00D36348">
        <w:t xml:space="preserve">, new job or job transfer, wanted </w:t>
      </w:r>
      <w:r w:rsidR="0006490C" w:rsidRPr="00D36348">
        <w:t>cheaper housing</w:t>
      </w:r>
      <w:r w:rsidR="005D332D" w:rsidRPr="00D36348">
        <w:t>, and</w:t>
      </w:r>
      <w:r w:rsidR="00082242" w:rsidRPr="00D36348">
        <w:t xml:space="preserve"> natural disaster.</w:t>
      </w:r>
      <w:r w:rsidR="009A5CED" w:rsidRPr="00D36348">
        <w:rPr>
          <w:rStyle w:val="FootnoteReference"/>
        </w:rPr>
        <w:footnoteReference w:id="2"/>
      </w:r>
      <w:r w:rsidR="00744571">
        <w:t xml:space="preserve"> </w:t>
      </w:r>
    </w:p>
    <w:p w:rsidR="0076241E" w:rsidRDefault="003E071D" w:rsidP="00744571">
      <w:pPr>
        <w:spacing w:line="480" w:lineRule="auto"/>
        <w:ind w:firstLine="720"/>
      </w:pPr>
      <w:r>
        <w:t>This paper</w:t>
      </w:r>
      <w:r w:rsidR="004E1E36">
        <w:t xml:space="preserve"> concentrates on three of these individual reasons: </w:t>
      </w:r>
      <w:r w:rsidR="00C27623">
        <w:t>other family</w:t>
      </w:r>
      <w:r w:rsidR="00CA4111">
        <w:t xml:space="preserve">, </w:t>
      </w:r>
      <w:r w:rsidR="00C27623">
        <w:t xml:space="preserve">other </w:t>
      </w:r>
      <w:r w:rsidR="00CA01AF">
        <w:t>job-related</w:t>
      </w:r>
      <w:r w:rsidR="00743783">
        <w:t>,</w:t>
      </w:r>
      <w:r w:rsidR="00CA4111">
        <w:t xml:space="preserve"> </w:t>
      </w:r>
      <w:r w:rsidR="00C0610D">
        <w:t xml:space="preserve">and </w:t>
      </w:r>
      <w:r w:rsidR="00C27623">
        <w:t xml:space="preserve">other </w:t>
      </w:r>
      <w:r w:rsidR="00CA4111">
        <w:t>hou</w:t>
      </w:r>
      <w:r w:rsidR="00C27623">
        <w:t>sing</w:t>
      </w:r>
      <w:r w:rsidR="00BF3D89">
        <w:t>. T</w:t>
      </w:r>
      <w:r w:rsidR="00CA4111">
        <w:t xml:space="preserve">hese responses </w:t>
      </w:r>
      <w:r w:rsidR="00C27623">
        <w:t>provide a general sense of why the</w:t>
      </w:r>
      <w:r w:rsidR="00CA4111">
        <w:t xml:space="preserve"> respondent moved, </w:t>
      </w:r>
      <w:r w:rsidR="00BF3D89">
        <w:t xml:space="preserve">however, </w:t>
      </w:r>
      <w:r w:rsidR="00CA4111">
        <w:t>t</w:t>
      </w:r>
      <w:r w:rsidR="003E2023">
        <w:t>hey lack</w:t>
      </w:r>
      <w:r w:rsidR="00EF2F2C">
        <w:t xml:space="preserve"> </w:t>
      </w:r>
      <w:r w:rsidR="00C27623">
        <w:t xml:space="preserve">any </w:t>
      </w:r>
      <w:r w:rsidR="00D63D93">
        <w:t xml:space="preserve">degree of </w:t>
      </w:r>
      <w:r w:rsidR="00EF2F2C">
        <w:t>specificity</w:t>
      </w:r>
      <w:r w:rsidR="00082242">
        <w:t xml:space="preserve">. </w:t>
      </w:r>
      <w:r w:rsidR="002F1DD4">
        <w:t>This is</w:t>
      </w:r>
      <w:r w:rsidR="00ED3C6E">
        <w:t xml:space="preserve"> particularly</w:t>
      </w:r>
      <w:r w:rsidR="002F1DD4">
        <w:t xml:space="preserve"> </w:t>
      </w:r>
      <w:r w:rsidR="003D418F">
        <w:t>concerning</w:t>
      </w:r>
      <w:r w:rsidR="001463D5">
        <w:t xml:space="preserve"> </w:t>
      </w:r>
      <w:r w:rsidR="002F1DD4">
        <w:t xml:space="preserve">because </w:t>
      </w:r>
      <w:r w:rsidR="00FA3DA4">
        <w:t>the</w:t>
      </w:r>
      <w:r w:rsidR="001463D5">
        <w:t xml:space="preserve"> percent</w:t>
      </w:r>
      <w:r w:rsidR="00FA3DA4">
        <w:t>age of movers</w:t>
      </w:r>
      <w:r w:rsidR="00E04EC4">
        <w:t xml:space="preserve"> </w:t>
      </w:r>
      <w:r w:rsidR="001463D5">
        <w:t>select</w:t>
      </w:r>
      <w:r w:rsidR="00FA3DA4">
        <w:t>ing</w:t>
      </w:r>
      <w:r w:rsidR="001463D5">
        <w:t xml:space="preserve"> one of these three reasons</w:t>
      </w:r>
      <w:r w:rsidR="00FA3DA4">
        <w:t xml:space="preserve"> </w:t>
      </w:r>
      <w:r w:rsidR="00312B06">
        <w:t xml:space="preserve">reached </w:t>
      </w:r>
      <w:r w:rsidR="00D17123">
        <w:t xml:space="preserve">as high as </w:t>
      </w:r>
      <w:r w:rsidR="00312B06">
        <w:t>31 percent</w:t>
      </w:r>
      <w:r w:rsidR="001574C3">
        <w:t>.</w:t>
      </w:r>
      <w:r w:rsidR="00034571">
        <w:rPr>
          <w:rStyle w:val="FootnoteReference"/>
        </w:rPr>
        <w:footnoteReference w:id="3"/>
      </w:r>
      <w:r w:rsidR="006D48F3" w:rsidRPr="006D48F3">
        <w:rPr>
          <w:vertAlign w:val="superscript"/>
        </w:rPr>
        <w:t>,</w:t>
      </w:r>
      <w:r w:rsidR="006D48F3">
        <w:rPr>
          <w:rStyle w:val="FootnoteReference"/>
        </w:rPr>
        <w:footnoteReference w:id="4"/>
      </w:r>
      <w:r w:rsidR="00AD1853">
        <w:t xml:space="preserve"> With</w:t>
      </w:r>
      <w:r w:rsidR="008767F1">
        <w:t xml:space="preserve"> these reasons</w:t>
      </w:r>
      <w:r w:rsidR="00AD1853">
        <w:t xml:space="preserve"> being</w:t>
      </w:r>
      <w:r w:rsidR="00F00453">
        <w:t xml:space="preserve"> broad in scope, migration analysts have limited insight into why movers select</w:t>
      </w:r>
      <w:r w:rsidR="00B63BAC">
        <w:t>ed</w:t>
      </w:r>
      <w:r w:rsidR="00F00453">
        <w:t xml:space="preserve"> </w:t>
      </w:r>
      <w:r w:rsidR="008767F1">
        <w:t>them</w:t>
      </w:r>
      <w:r w:rsidR="00F00453">
        <w:t xml:space="preserve">. </w:t>
      </w:r>
      <w:r w:rsidR="00CA01AF">
        <w:t>The reason for m</w:t>
      </w:r>
      <w:r w:rsidR="00E2220A">
        <w:t>ove write-in expansion addresses</w:t>
      </w:r>
      <w:r w:rsidR="00CA01AF">
        <w:t xml:space="preserve"> this by collecting additional information for movers who select other family, other job-related</w:t>
      </w:r>
      <w:r w:rsidR="001D69AD">
        <w:t>,</w:t>
      </w:r>
      <w:r w:rsidR="00E2220A">
        <w:t xml:space="preserve"> or other housing </w:t>
      </w:r>
      <w:r w:rsidR="00CA01AF">
        <w:t>by asking them to specify their exact reason for move through write-in fields.</w:t>
      </w:r>
      <w:r w:rsidR="00DA2018">
        <w:t xml:space="preserve"> This provides migration analysts with the opportunity to evaluate and enhance the response categories offered on the survey. </w:t>
      </w:r>
      <w:r w:rsidR="00E2220A">
        <w:t xml:space="preserve"> </w:t>
      </w:r>
    </w:p>
    <w:p w:rsidR="008F189D" w:rsidRDefault="00CB6F58" w:rsidP="00362857">
      <w:pPr>
        <w:spacing w:line="480" w:lineRule="auto"/>
        <w:ind w:firstLine="720"/>
      </w:pPr>
      <w:r>
        <w:t>Th</w:t>
      </w:r>
      <w:r w:rsidR="007432C4">
        <w:t xml:space="preserve">e main purpose of this </w:t>
      </w:r>
      <w:r w:rsidR="001D38B1">
        <w:t>working paper</w:t>
      </w:r>
      <w:r w:rsidR="007432C4">
        <w:t xml:space="preserve"> is to document</w:t>
      </w:r>
      <w:r w:rsidR="001D38B1">
        <w:t xml:space="preserve"> </w:t>
      </w:r>
      <w:r w:rsidR="00D86C77">
        <w:t xml:space="preserve">the reason for move </w:t>
      </w:r>
      <w:r w:rsidR="003B210F">
        <w:t>write-in expansion</w:t>
      </w:r>
      <w:r w:rsidR="00ED0CA5">
        <w:t>, which was implemented in the 2016 ASEC</w:t>
      </w:r>
      <w:r w:rsidR="00D86C77">
        <w:t>.</w:t>
      </w:r>
      <w:r w:rsidR="0067021F">
        <w:t xml:space="preserve"> This is accomplished by</w:t>
      </w:r>
      <w:r w:rsidR="006A5308">
        <w:t xml:space="preserve"> describ</w:t>
      </w:r>
      <w:r w:rsidR="0067021F">
        <w:t>ing</w:t>
      </w:r>
      <w:r w:rsidR="006A5308">
        <w:t xml:space="preserve"> t</w:t>
      </w:r>
      <w:r w:rsidR="009A1835">
        <w:t xml:space="preserve">he various </w:t>
      </w:r>
      <w:r w:rsidR="004D5908">
        <w:t>ele</w:t>
      </w:r>
      <w:r w:rsidR="00B63CCE">
        <w:t>ments</w:t>
      </w:r>
      <w:r w:rsidR="009A1835">
        <w:t xml:space="preserve"> of th</w:t>
      </w:r>
      <w:r w:rsidR="001D38B1">
        <w:t>e</w:t>
      </w:r>
      <w:r w:rsidR="009A1835">
        <w:t xml:space="preserve"> expansion. </w:t>
      </w:r>
      <w:r w:rsidR="009012CB">
        <w:t>These include who was</w:t>
      </w:r>
      <w:r w:rsidR="004D5908">
        <w:t xml:space="preserve"> impacted, how th</w:t>
      </w:r>
      <w:r w:rsidR="009012CB">
        <w:t>e write-in coding procedure</w:t>
      </w:r>
      <w:r w:rsidR="004D5908">
        <w:t xml:space="preserve"> change</w:t>
      </w:r>
      <w:r w:rsidR="009012CB">
        <w:t>d, and how the edits</w:t>
      </w:r>
      <w:r w:rsidR="004D5908">
        <w:t xml:space="preserve"> change</w:t>
      </w:r>
      <w:r w:rsidR="009012CB">
        <w:t>d</w:t>
      </w:r>
      <w:r w:rsidR="004D5908">
        <w:t xml:space="preserve">. </w:t>
      </w:r>
      <w:r w:rsidR="009A1835">
        <w:t>Justifications for adopting the expansion are provided, including a</w:t>
      </w:r>
      <w:r w:rsidR="001D38B1">
        <w:t>n</w:t>
      </w:r>
      <w:r w:rsidR="009A1835">
        <w:t xml:space="preserve"> example based on a resp</w:t>
      </w:r>
      <w:r w:rsidR="003E071D">
        <w:t xml:space="preserve">onse being created </w:t>
      </w:r>
      <w:r w:rsidR="00FD787D">
        <w:t xml:space="preserve">from write-in responses. </w:t>
      </w:r>
      <w:r w:rsidR="00290C67">
        <w:t>This paper</w:t>
      </w:r>
      <w:r w:rsidR="009A1835">
        <w:t xml:space="preserve"> concludes with an analysis of results from the 2016 ASEC. </w:t>
      </w:r>
      <w:r w:rsidR="00D60855">
        <w:t>Common responses in each o</w:t>
      </w:r>
      <w:r w:rsidR="004D5908">
        <w:t xml:space="preserve">f </w:t>
      </w:r>
      <w:r w:rsidR="004D5908">
        <w:lastRenderedPageBreak/>
        <w:t xml:space="preserve">the four </w:t>
      </w:r>
      <w:r w:rsidR="00E108E9">
        <w:t>“</w:t>
      </w:r>
      <w:r w:rsidR="004D5908">
        <w:t>other</w:t>
      </w:r>
      <w:r w:rsidR="00E108E9">
        <w:t>”</w:t>
      </w:r>
      <w:r w:rsidR="004D5908">
        <w:t xml:space="preserve"> categories are</w:t>
      </w:r>
      <w:r w:rsidR="00D60855">
        <w:t xml:space="preserve"> provided, along with a general idea of how often cases are </w:t>
      </w:r>
      <w:r w:rsidR="00932CA3">
        <w:t xml:space="preserve">changed by </w:t>
      </w:r>
      <w:r w:rsidR="00D60855">
        <w:t>cod</w:t>
      </w:r>
      <w:r w:rsidR="00932CA3">
        <w:t>ing</w:t>
      </w:r>
      <w:r w:rsidR="00D60855">
        <w:t xml:space="preserve">. </w:t>
      </w:r>
    </w:p>
    <w:p w:rsidR="006502C6" w:rsidRDefault="006502C6" w:rsidP="006502C6">
      <w:pPr>
        <w:spacing w:line="480" w:lineRule="auto"/>
        <w:rPr>
          <w:b/>
        </w:rPr>
      </w:pPr>
      <w:r>
        <w:rPr>
          <w:b/>
        </w:rPr>
        <w:t xml:space="preserve">Explanation of the </w:t>
      </w:r>
      <w:r w:rsidR="00AB77A5">
        <w:rPr>
          <w:b/>
        </w:rPr>
        <w:t>r</w:t>
      </w:r>
      <w:r w:rsidRPr="00603026">
        <w:rPr>
          <w:b/>
        </w:rPr>
        <w:t xml:space="preserve">eason for </w:t>
      </w:r>
      <w:r w:rsidR="00AB77A5">
        <w:rPr>
          <w:b/>
        </w:rPr>
        <w:t>m</w:t>
      </w:r>
      <w:r w:rsidRPr="00603026">
        <w:rPr>
          <w:b/>
        </w:rPr>
        <w:t xml:space="preserve">ove </w:t>
      </w:r>
      <w:r w:rsidR="00AB77A5">
        <w:rPr>
          <w:b/>
        </w:rPr>
        <w:t>w</w:t>
      </w:r>
      <w:r w:rsidR="00405E51">
        <w:rPr>
          <w:b/>
        </w:rPr>
        <w:t>rite-</w:t>
      </w:r>
      <w:r w:rsidR="00AB77A5">
        <w:rPr>
          <w:b/>
        </w:rPr>
        <w:t>i</w:t>
      </w:r>
      <w:r w:rsidR="00405E51">
        <w:rPr>
          <w:b/>
        </w:rPr>
        <w:t xml:space="preserve">n </w:t>
      </w:r>
      <w:r w:rsidR="00AB77A5">
        <w:rPr>
          <w:b/>
        </w:rPr>
        <w:t>e</w:t>
      </w:r>
      <w:r w:rsidRPr="00603026">
        <w:rPr>
          <w:b/>
        </w:rPr>
        <w:t>xpansion</w:t>
      </w:r>
    </w:p>
    <w:p w:rsidR="00F43D07" w:rsidRDefault="009B55F3" w:rsidP="006502C6">
      <w:pPr>
        <w:spacing w:line="480" w:lineRule="auto"/>
        <w:ind w:firstLine="720"/>
      </w:pPr>
      <w:r>
        <w:t>In previous years</w:t>
      </w:r>
      <w:r w:rsidR="008200D5">
        <w:t xml:space="preserve">, only respondents who selected “other reason” </w:t>
      </w:r>
      <w:r w:rsidR="002700E4">
        <w:t>were</w:t>
      </w:r>
      <w:r w:rsidR="008200D5">
        <w:t xml:space="preserve"> asked to specify their exact reason</w:t>
      </w:r>
      <w:r>
        <w:t xml:space="preserve"> in a write-in field</w:t>
      </w:r>
      <w:r w:rsidR="008200D5">
        <w:t xml:space="preserve">. </w:t>
      </w:r>
      <w:r w:rsidR="006502C6">
        <w:t xml:space="preserve">The reason for move </w:t>
      </w:r>
      <w:r w:rsidR="00405E51">
        <w:t xml:space="preserve">write-in </w:t>
      </w:r>
      <w:r w:rsidR="006502C6">
        <w:t>expansion modifie</w:t>
      </w:r>
      <w:r w:rsidR="005F661F">
        <w:t>d</w:t>
      </w:r>
      <w:r w:rsidR="006502C6">
        <w:t xml:space="preserve"> the response categories of other family, other </w:t>
      </w:r>
      <w:r w:rsidR="00CA01AF">
        <w:t>job-related</w:t>
      </w:r>
      <w:r w:rsidR="008D77A3">
        <w:t>,</w:t>
      </w:r>
      <w:r w:rsidR="006502C6">
        <w:t xml:space="preserve"> and other housing</w:t>
      </w:r>
      <w:r>
        <w:t xml:space="preserve">, </w:t>
      </w:r>
      <w:r w:rsidR="005448F1">
        <w:t>requesting</w:t>
      </w:r>
      <w:r>
        <w:t xml:space="preserve"> </w:t>
      </w:r>
      <w:r w:rsidR="005D4F19">
        <w:t xml:space="preserve">movers </w:t>
      </w:r>
      <w:r w:rsidR="00F74773">
        <w:t>who select</w:t>
      </w:r>
      <w:r w:rsidR="005F661F">
        <w:t>ed</w:t>
      </w:r>
      <w:r w:rsidR="00F74773">
        <w:t xml:space="preserve"> thes</w:t>
      </w:r>
      <w:r w:rsidR="00CD2696">
        <w:t xml:space="preserve">e reasons to </w:t>
      </w:r>
      <w:r w:rsidR="006D3911">
        <w:t xml:space="preserve">further </w:t>
      </w:r>
      <w:r w:rsidR="00CD2696">
        <w:t>specify the</w:t>
      </w:r>
      <w:r w:rsidR="00122283">
        <w:t>ir reason</w:t>
      </w:r>
      <w:r w:rsidR="00BF38D0">
        <w:t xml:space="preserve"> through</w:t>
      </w:r>
      <w:r w:rsidR="00122283">
        <w:t xml:space="preserve"> a write-in screen.</w:t>
      </w:r>
      <w:r w:rsidR="00E86E18">
        <w:t xml:space="preserve"> The</w:t>
      </w:r>
      <w:r w:rsidR="00122283">
        <w:t>s</w:t>
      </w:r>
      <w:r w:rsidR="00E86E18">
        <w:t>e</w:t>
      </w:r>
      <w:r w:rsidR="00122283">
        <w:t xml:space="preserve"> </w:t>
      </w:r>
      <w:r w:rsidR="00E86E18">
        <w:t xml:space="preserve">write-in responses </w:t>
      </w:r>
      <w:r w:rsidR="00CF5C16">
        <w:t>provide</w:t>
      </w:r>
      <w:r w:rsidR="005F661F">
        <w:t>d</w:t>
      </w:r>
      <w:r w:rsidR="00122283">
        <w:t xml:space="preserve"> </w:t>
      </w:r>
      <w:r w:rsidR="0060395E">
        <w:t xml:space="preserve">additional </w:t>
      </w:r>
      <w:r w:rsidR="00123C0E">
        <w:t xml:space="preserve">detail </w:t>
      </w:r>
      <w:r w:rsidR="00122283">
        <w:t>about why respondents who selected one of these categories moved</w:t>
      </w:r>
      <w:r w:rsidR="002D480C">
        <w:t>, something that was lacking before the expansion</w:t>
      </w:r>
      <w:r w:rsidR="00122283">
        <w:t xml:space="preserve">. </w:t>
      </w:r>
    </w:p>
    <w:p w:rsidR="002123BB" w:rsidRPr="00F43D07" w:rsidRDefault="00E84E39" w:rsidP="002123BB">
      <w:pPr>
        <w:spacing w:line="480" w:lineRule="auto"/>
        <w:rPr>
          <w:b/>
        </w:rPr>
      </w:pPr>
      <w:r>
        <w:rPr>
          <w:b/>
        </w:rPr>
        <w:t>Who was</w:t>
      </w:r>
      <w:r w:rsidR="002123BB" w:rsidRPr="00F43D07">
        <w:rPr>
          <w:b/>
        </w:rPr>
        <w:t xml:space="preserve"> </w:t>
      </w:r>
      <w:r w:rsidR="00AB77A5">
        <w:rPr>
          <w:b/>
        </w:rPr>
        <w:t>i</w:t>
      </w:r>
      <w:r w:rsidR="002123BB" w:rsidRPr="00F43D07">
        <w:rPr>
          <w:b/>
        </w:rPr>
        <w:t xml:space="preserve">mpacted by the </w:t>
      </w:r>
      <w:r w:rsidR="00AB77A5">
        <w:rPr>
          <w:b/>
        </w:rPr>
        <w:t>e</w:t>
      </w:r>
      <w:r w:rsidR="002123BB" w:rsidRPr="00F43D07">
        <w:rPr>
          <w:b/>
        </w:rPr>
        <w:t xml:space="preserve">xpansion? </w:t>
      </w:r>
    </w:p>
    <w:p w:rsidR="002123BB" w:rsidRDefault="00D36942" w:rsidP="002123BB">
      <w:pPr>
        <w:spacing w:line="480" w:lineRule="auto"/>
        <w:ind w:firstLine="720"/>
      </w:pPr>
      <w:r>
        <w:t>O</w:t>
      </w:r>
      <w:r w:rsidR="002123BB">
        <w:t>nly a small propo</w:t>
      </w:r>
      <w:r w:rsidR="00E84E39">
        <w:t>rtion of survey respondents</w:t>
      </w:r>
      <w:r w:rsidR="002123BB">
        <w:t xml:space="preserve"> experience</w:t>
      </w:r>
      <w:r w:rsidR="00E84E39">
        <w:t>d</w:t>
      </w:r>
      <w:r w:rsidR="002123BB">
        <w:t xml:space="preserve"> </w:t>
      </w:r>
      <w:r>
        <w:t>the write-in expansion</w:t>
      </w:r>
      <w:r w:rsidR="002123BB">
        <w:t xml:space="preserve">. </w:t>
      </w:r>
      <w:r w:rsidR="00174A1C">
        <w:t>The reason for move question was not asked of c</w:t>
      </w:r>
      <w:r w:rsidR="002123BB">
        <w:t>hildren under the a</w:t>
      </w:r>
      <w:r w:rsidR="00D63D93">
        <w:t xml:space="preserve">ge of one </w:t>
      </w:r>
      <w:r w:rsidR="00174A1C">
        <w:t>or</w:t>
      </w:r>
      <w:r w:rsidR="00D63D93">
        <w:t xml:space="preserve"> </w:t>
      </w:r>
      <w:proofErr w:type="spellStart"/>
      <w:r w:rsidR="00D63D93">
        <w:t>nonmovers</w:t>
      </w:r>
      <w:proofErr w:type="spellEnd"/>
      <w:r w:rsidR="00174A1C">
        <w:t xml:space="preserve">, </w:t>
      </w:r>
      <w:r w:rsidR="002123BB">
        <w:t>which disqualifie</w:t>
      </w:r>
      <w:r w:rsidR="005F661F">
        <w:t>d</w:t>
      </w:r>
      <w:r w:rsidR="002123BB">
        <w:t xml:space="preserve"> </w:t>
      </w:r>
      <w:r w:rsidR="008C46F7">
        <w:t>90.3</w:t>
      </w:r>
      <w:r w:rsidR="005A34C0" w:rsidRPr="00597E0B">
        <w:rPr>
          <w:b/>
        </w:rPr>
        <w:t xml:space="preserve"> </w:t>
      </w:r>
      <w:r w:rsidR="005A34C0" w:rsidRPr="00D36942">
        <w:t>percent</w:t>
      </w:r>
      <w:r w:rsidR="005A34C0">
        <w:t xml:space="preserve"> </w:t>
      </w:r>
      <w:r w:rsidR="002123BB">
        <w:t xml:space="preserve">of the </w:t>
      </w:r>
      <w:r w:rsidR="00622756">
        <w:t xml:space="preserve">2016 </w:t>
      </w:r>
      <w:r w:rsidR="005A3A2B">
        <w:t>ASEC sample</w:t>
      </w:r>
      <w:r w:rsidR="002123BB">
        <w:t>.</w:t>
      </w:r>
      <w:r w:rsidR="001D724A">
        <w:rPr>
          <w:rStyle w:val="FootnoteReference"/>
        </w:rPr>
        <w:footnoteReference w:id="5"/>
      </w:r>
      <w:r w:rsidR="002123BB">
        <w:t xml:space="preserve"> Field representatives</w:t>
      </w:r>
      <w:r w:rsidR="003156B7">
        <w:t xml:space="preserve"> </w:t>
      </w:r>
      <w:r w:rsidR="00F60A7D">
        <w:t xml:space="preserve">were </w:t>
      </w:r>
      <w:r w:rsidR="002123BB">
        <w:t xml:space="preserve">another group involved in the expansion. </w:t>
      </w:r>
      <w:r w:rsidR="00443956">
        <w:t>Whether they collected the data in person or over the phone, the two methods of collections used for ASEC, t</w:t>
      </w:r>
      <w:r w:rsidR="002123BB">
        <w:t>hey face</w:t>
      </w:r>
      <w:r w:rsidR="00F60A7D">
        <w:t>d</w:t>
      </w:r>
      <w:r w:rsidR="002123BB">
        <w:t xml:space="preserve"> the same amount of</w:t>
      </w:r>
      <w:r w:rsidR="00E84E39">
        <w:t xml:space="preserve"> time added to the survey as</w:t>
      </w:r>
      <w:r w:rsidR="002123BB">
        <w:t xml:space="preserve"> respondent</w:t>
      </w:r>
      <w:r w:rsidR="00E84E39">
        <w:t>s,</w:t>
      </w:r>
      <w:r w:rsidR="002123BB">
        <w:t xml:space="preserve"> with no additional burden beyond </w:t>
      </w:r>
      <w:r w:rsidR="00123C0E">
        <w:t xml:space="preserve">obtaining, summarizing, and </w:t>
      </w:r>
      <w:r w:rsidR="002123BB">
        <w:t>typing the rea</w:t>
      </w:r>
      <w:r w:rsidR="00443956">
        <w:t xml:space="preserve">son. </w:t>
      </w:r>
      <w:r w:rsidR="00942004">
        <w:t>Migration analysts</w:t>
      </w:r>
      <w:r w:rsidR="005F661F">
        <w:t xml:space="preserve"> </w:t>
      </w:r>
      <w:r w:rsidR="00B26B09">
        <w:t xml:space="preserve">tasked with reviewing and coding the data </w:t>
      </w:r>
      <w:r w:rsidR="002123BB" w:rsidRPr="00184443">
        <w:t>experience</w:t>
      </w:r>
      <w:r w:rsidR="00E84E39" w:rsidRPr="00184443">
        <w:t>d</w:t>
      </w:r>
      <w:r w:rsidR="002123BB">
        <w:t xml:space="preserve"> the largest change</w:t>
      </w:r>
      <w:r w:rsidR="003156B7">
        <w:t>, as the</w:t>
      </w:r>
      <w:r w:rsidR="00E84E39">
        <w:t xml:space="preserve"> number of write-in cases increased from </w:t>
      </w:r>
      <w:r w:rsidR="001416DF">
        <w:t>201</w:t>
      </w:r>
      <w:r w:rsidR="003E5919" w:rsidRPr="004C3D79">
        <w:t xml:space="preserve"> cases</w:t>
      </w:r>
      <w:r w:rsidR="00742BCA" w:rsidRPr="004C3D79">
        <w:t xml:space="preserve"> in 2015</w:t>
      </w:r>
      <w:r w:rsidR="005276F8">
        <w:rPr>
          <w:b/>
        </w:rPr>
        <w:t xml:space="preserve"> </w:t>
      </w:r>
      <w:r w:rsidR="00E84E39" w:rsidRPr="005B174D">
        <w:t xml:space="preserve">to </w:t>
      </w:r>
      <w:r w:rsidR="00E23D48">
        <w:t>over 2,100</w:t>
      </w:r>
      <w:r w:rsidR="00742BCA">
        <w:rPr>
          <w:b/>
        </w:rPr>
        <w:t xml:space="preserve"> </w:t>
      </w:r>
      <w:r w:rsidR="00742BCA" w:rsidRPr="005B174D">
        <w:t>in 2016</w:t>
      </w:r>
      <w:r w:rsidR="00E84E39">
        <w:t xml:space="preserve">. </w:t>
      </w:r>
      <w:r w:rsidR="003156B7">
        <w:t xml:space="preserve">As a result, </w:t>
      </w:r>
      <w:r w:rsidR="002123BB">
        <w:t xml:space="preserve">more time </w:t>
      </w:r>
      <w:r w:rsidR="003156B7">
        <w:t xml:space="preserve">was </w:t>
      </w:r>
      <w:r w:rsidR="002123BB">
        <w:t xml:space="preserve">spent coding </w:t>
      </w:r>
      <w:r w:rsidR="006D0010">
        <w:t xml:space="preserve">reason for move </w:t>
      </w:r>
      <w:r w:rsidR="002123BB">
        <w:t xml:space="preserve">write-in cases.     </w:t>
      </w:r>
    </w:p>
    <w:p w:rsidR="00CD2696" w:rsidRPr="0061723B" w:rsidRDefault="00E61B60" w:rsidP="00CD2696">
      <w:pPr>
        <w:spacing w:line="480" w:lineRule="auto"/>
        <w:rPr>
          <w:b/>
        </w:rPr>
      </w:pPr>
      <w:r>
        <w:rPr>
          <w:b/>
        </w:rPr>
        <w:t xml:space="preserve">What </w:t>
      </w:r>
      <w:r w:rsidR="007B1FCA">
        <w:rPr>
          <w:b/>
        </w:rPr>
        <w:t>wa</w:t>
      </w:r>
      <w:r w:rsidR="00F010C4">
        <w:rPr>
          <w:b/>
        </w:rPr>
        <w:t xml:space="preserve">s the </w:t>
      </w:r>
      <w:r w:rsidR="00AB77A5">
        <w:rPr>
          <w:b/>
        </w:rPr>
        <w:t>w</w:t>
      </w:r>
      <w:r w:rsidR="00F010C4">
        <w:rPr>
          <w:b/>
        </w:rPr>
        <w:t xml:space="preserve">rite-in </w:t>
      </w:r>
      <w:r w:rsidR="00AB77A5">
        <w:rPr>
          <w:b/>
        </w:rPr>
        <w:t>c</w:t>
      </w:r>
      <w:r w:rsidR="00F010C4">
        <w:rPr>
          <w:b/>
        </w:rPr>
        <w:t xml:space="preserve">oding </w:t>
      </w:r>
      <w:r w:rsidR="00AB77A5">
        <w:rPr>
          <w:b/>
        </w:rPr>
        <w:t>p</w:t>
      </w:r>
      <w:r w:rsidR="00F010C4">
        <w:rPr>
          <w:b/>
        </w:rPr>
        <w:t>rocedure</w:t>
      </w:r>
      <w:r w:rsidR="00E84E39">
        <w:rPr>
          <w:b/>
        </w:rPr>
        <w:t xml:space="preserve"> and </w:t>
      </w:r>
      <w:r w:rsidR="00AB77A5">
        <w:rPr>
          <w:b/>
        </w:rPr>
        <w:t>h</w:t>
      </w:r>
      <w:r w:rsidR="00E84E39">
        <w:rPr>
          <w:b/>
        </w:rPr>
        <w:t xml:space="preserve">ow </w:t>
      </w:r>
      <w:r w:rsidR="00AB77A5">
        <w:rPr>
          <w:b/>
        </w:rPr>
        <w:t>d</w:t>
      </w:r>
      <w:r w:rsidR="00E84E39">
        <w:rPr>
          <w:b/>
        </w:rPr>
        <w:t xml:space="preserve">id </w:t>
      </w:r>
      <w:r w:rsidR="00AB77A5">
        <w:rPr>
          <w:b/>
        </w:rPr>
        <w:t>i</w:t>
      </w:r>
      <w:r w:rsidR="00E84E39">
        <w:rPr>
          <w:b/>
        </w:rPr>
        <w:t>t</w:t>
      </w:r>
      <w:r>
        <w:rPr>
          <w:b/>
        </w:rPr>
        <w:t xml:space="preserve"> </w:t>
      </w:r>
      <w:r w:rsidR="00AB77A5">
        <w:rPr>
          <w:b/>
        </w:rPr>
        <w:t>c</w:t>
      </w:r>
      <w:r>
        <w:rPr>
          <w:b/>
        </w:rPr>
        <w:t>hange?</w:t>
      </w:r>
      <w:r w:rsidR="00CD2696" w:rsidRPr="0061723B">
        <w:rPr>
          <w:b/>
        </w:rPr>
        <w:t xml:space="preserve"> </w:t>
      </w:r>
    </w:p>
    <w:p w:rsidR="00CD2696" w:rsidRDefault="00D952A1" w:rsidP="00CD2696">
      <w:pPr>
        <w:spacing w:line="480" w:lineRule="auto"/>
        <w:ind w:firstLine="720"/>
      </w:pPr>
      <w:r>
        <w:t>Before the expansion, o</w:t>
      </w:r>
      <w:r w:rsidR="00F342C3">
        <w:t xml:space="preserve">nly respondents who selected </w:t>
      </w:r>
      <w:r w:rsidR="007B1FCA">
        <w:t xml:space="preserve">“other reason” </w:t>
      </w:r>
      <w:r w:rsidR="0007310D">
        <w:t xml:space="preserve">were asked to specify through a write-in screen. </w:t>
      </w:r>
      <w:r w:rsidR="00F342C3">
        <w:t xml:space="preserve">Write-in responses were compared to official reason for move definitions shown in </w:t>
      </w:r>
      <w:r w:rsidR="00F342C3" w:rsidRPr="00F342C3">
        <w:rPr>
          <w:b/>
        </w:rPr>
        <w:t>Table 1</w:t>
      </w:r>
      <w:r w:rsidR="00F342C3">
        <w:t>.</w:t>
      </w:r>
      <w:r w:rsidR="00654D96">
        <w:rPr>
          <w:rStyle w:val="FootnoteReference"/>
        </w:rPr>
        <w:footnoteReference w:id="6"/>
      </w:r>
      <w:r w:rsidR="00F342C3">
        <w:t xml:space="preserve"> </w:t>
      </w:r>
      <w:r w:rsidR="00CD2696">
        <w:t xml:space="preserve">If the response </w:t>
      </w:r>
      <w:r w:rsidR="00A45797">
        <w:t xml:space="preserve">closely </w:t>
      </w:r>
      <w:r w:rsidR="00CD2696">
        <w:t>matched one of the definitions, it was mov</w:t>
      </w:r>
      <w:r w:rsidR="00F342C3">
        <w:t>ed to the corresponding reason. Otherwise, it was placed back into “other reasons</w:t>
      </w:r>
      <w:r w:rsidR="001A7F0D">
        <w:t>.”</w:t>
      </w:r>
      <w:r w:rsidR="00F342C3">
        <w:t xml:space="preserve"> </w:t>
      </w:r>
    </w:p>
    <w:p w:rsidR="00CD2696" w:rsidRDefault="00CD2696" w:rsidP="004A4783">
      <w:pPr>
        <w:spacing w:line="480" w:lineRule="auto"/>
        <w:ind w:firstLine="720"/>
      </w:pPr>
      <w:r>
        <w:t>Write-in coding for the expansion operate</w:t>
      </w:r>
      <w:r w:rsidR="005A161C">
        <w:t>d</w:t>
      </w:r>
      <w:r>
        <w:t xml:space="preserve"> in mostly the same manner with a few key differences. </w:t>
      </w:r>
      <w:r w:rsidR="004A4973">
        <w:t>F</w:t>
      </w:r>
      <w:r>
        <w:t>irst</w:t>
      </w:r>
      <w:r w:rsidR="004A4973">
        <w:t>,</w:t>
      </w:r>
      <w:r>
        <w:t xml:space="preserve"> </w:t>
      </w:r>
      <w:r w:rsidR="002262D4">
        <w:t>those who respond</w:t>
      </w:r>
      <w:r w:rsidR="00BA7901">
        <w:t>ed</w:t>
      </w:r>
      <w:r w:rsidR="002262D4">
        <w:t xml:space="preserve"> with </w:t>
      </w:r>
      <w:r>
        <w:t xml:space="preserve">other family, other job-related, and other housing reasons </w:t>
      </w:r>
      <w:r w:rsidR="00BA7901">
        <w:t>were</w:t>
      </w:r>
      <w:r w:rsidR="004A4973">
        <w:t xml:space="preserve"> </w:t>
      </w:r>
      <w:r w:rsidR="009F0150">
        <w:t>sent to</w:t>
      </w:r>
      <w:r>
        <w:t xml:space="preserve"> the write-in screen</w:t>
      </w:r>
      <w:r w:rsidR="005448F1">
        <w:t xml:space="preserve"> to be collected and coded</w:t>
      </w:r>
      <w:r>
        <w:t>. Under the original approach, only “other reason” responses were</w:t>
      </w:r>
      <w:r w:rsidR="002165AF">
        <w:t xml:space="preserve"> </w:t>
      </w:r>
      <w:r>
        <w:t xml:space="preserve">collected and coded. </w:t>
      </w:r>
      <w:r w:rsidR="005448F1">
        <w:t>T</w:t>
      </w:r>
      <w:r w:rsidRPr="0090570F">
        <w:t>he second difference involves what information appear</w:t>
      </w:r>
      <w:r w:rsidR="00DF0C5A" w:rsidRPr="0090570F">
        <w:t>ed</w:t>
      </w:r>
      <w:r w:rsidRPr="0090570F">
        <w:t xml:space="preserve"> on the write-in coding files.</w:t>
      </w:r>
      <w:r w:rsidRPr="0090570F">
        <w:rPr>
          <w:rStyle w:val="FootnoteReference"/>
        </w:rPr>
        <w:footnoteReference w:id="7"/>
      </w:r>
      <w:r w:rsidRPr="0090570F">
        <w:t xml:space="preserve"> Using the original approach, </w:t>
      </w:r>
      <w:r w:rsidR="006B290E" w:rsidRPr="0090570F">
        <w:t>migration analysts</w:t>
      </w:r>
      <w:r w:rsidRPr="0090570F">
        <w:t xml:space="preserve"> added reason for move </w:t>
      </w:r>
      <w:proofErr w:type="spellStart"/>
      <w:r w:rsidR="00BF22EE" w:rsidRPr="0090570F">
        <w:t>pre</w:t>
      </w:r>
      <w:r w:rsidRPr="0090570F">
        <w:t>codes</w:t>
      </w:r>
      <w:proofErr w:type="spellEnd"/>
      <w:r w:rsidRPr="0090570F">
        <w:t xml:space="preserve"> directly to the write-in file</w:t>
      </w:r>
      <w:r w:rsidR="004E0BEB" w:rsidRPr="0090570F">
        <w:t>s</w:t>
      </w:r>
      <w:r w:rsidR="000B5CD8" w:rsidRPr="0090570F">
        <w:t xml:space="preserve">. For example, if someone wrote-in that they moved for a new job, then that response would receive </w:t>
      </w:r>
      <w:proofErr w:type="spellStart"/>
      <w:r w:rsidR="000B5CD8" w:rsidRPr="0090570F">
        <w:t>precode</w:t>
      </w:r>
      <w:proofErr w:type="spellEnd"/>
      <w:r w:rsidR="000B5CD8" w:rsidRPr="0090570F">
        <w:t xml:space="preserve"> “4” for new job or job transfer. </w:t>
      </w:r>
      <w:r w:rsidRPr="0090570F">
        <w:t xml:space="preserve">With the adoption of the expansion, the original reason for move </w:t>
      </w:r>
      <w:proofErr w:type="spellStart"/>
      <w:r w:rsidR="000B5CD8" w:rsidRPr="0090570F">
        <w:t>pre</w:t>
      </w:r>
      <w:r w:rsidRPr="0090570F">
        <w:t>code</w:t>
      </w:r>
      <w:proofErr w:type="spellEnd"/>
      <w:r w:rsidR="00983309" w:rsidRPr="0090570F">
        <w:t xml:space="preserve"> (e.g. </w:t>
      </w:r>
      <w:r w:rsidR="00F14D2C" w:rsidRPr="0090570F">
        <w:t>“</w:t>
      </w:r>
      <w:r w:rsidR="00983309" w:rsidRPr="0090570F">
        <w:t>3</w:t>
      </w:r>
      <w:r w:rsidR="00F14D2C" w:rsidRPr="0090570F">
        <w:t>”</w:t>
      </w:r>
      <w:r w:rsidR="00983309" w:rsidRPr="0090570F">
        <w:t xml:space="preserve"> for other family, </w:t>
      </w:r>
      <w:r w:rsidR="00F14D2C" w:rsidRPr="0090570F">
        <w:t>“</w:t>
      </w:r>
      <w:r w:rsidR="00983309" w:rsidRPr="0090570F">
        <w:t>8</w:t>
      </w:r>
      <w:r w:rsidR="00F14D2C" w:rsidRPr="0090570F">
        <w:t>”</w:t>
      </w:r>
      <w:r w:rsidR="00983309" w:rsidRPr="0090570F">
        <w:t xml:space="preserve"> for other job-related, </w:t>
      </w:r>
      <w:r w:rsidR="00F14D2C" w:rsidRPr="0090570F">
        <w:t>“</w:t>
      </w:r>
      <w:r w:rsidR="000B5CD8" w:rsidRPr="0090570F">
        <w:t>14</w:t>
      </w:r>
      <w:r w:rsidR="00F14D2C" w:rsidRPr="0090570F">
        <w:t>”</w:t>
      </w:r>
      <w:r w:rsidR="000B5CD8" w:rsidRPr="0090570F">
        <w:t xml:space="preserve"> for housing, and </w:t>
      </w:r>
      <w:r w:rsidR="00F14D2C" w:rsidRPr="0090570F">
        <w:t>“</w:t>
      </w:r>
      <w:r w:rsidR="000B5CD8" w:rsidRPr="0090570F">
        <w:t>19</w:t>
      </w:r>
      <w:r w:rsidR="00F14D2C" w:rsidRPr="0090570F">
        <w:t>”</w:t>
      </w:r>
      <w:r w:rsidR="000B5CD8" w:rsidRPr="0090570F">
        <w:t xml:space="preserve"> for other</w:t>
      </w:r>
      <w:r w:rsidR="00F14D2C" w:rsidRPr="0090570F">
        <w:t xml:space="preserve"> reason</w:t>
      </w:r>
      <w:r w:rsidR="00983309" w:rsidRPr="0090570F">
        <w:t>)</w:t>
      </w:r>
      <w:r w:rsidRPr="0090570F">
        <w:t xml:space="preserve"> w</w:t>
      </w:r>
      <w:r w:rsidR="00DF0C5A" w:rsidRPr="0090570F">
        <w:t>as</w:t>
      </w:r>
      <w:r w:rsidRPr="0090570F">
        <w:t xml:space="preserve"> included on the write-in file</w:t>
      </w:r>
      <w:r w:rsidR="004E0BEB" w:rsidRPr="0090570F">
        <w:t>s</w:t>
      </w:r>
      <w:r w:rsidRPr="0090570F">
        <w:t>.</w:t>
      </w:r>
      <w:r>
        <w:t xml:space="preserve"> There </w:t>
      </w:r>
      <w:r w:rsidR="00DF0C5A">
        <w:t>were</w:t>
      </w:r>
      <w:r>
        <w:t xml:space="preserve"> several justifications for this difference. The numb</w:t>
      </w:r>
      <w:r w:rsidR="004A4783">
        <w:t>er of write-in cases</w:t>
      </w:r>
      <w:r>
        <w:t xml:space="preserve"> increase</w:t>
      </w:r>
      <w:r w:rsidR="004A4783">
        <w:t>d</w:t>
      </w:r>
      <w:r>
        <w:t xml:space="preserve"> by </w:t>
      </w:r>
      <w:r w:rsidR="00782010">
        <w:t>more than 1,800</w:t>
      </w:r>
      <w:r>
        <w:t xml:space="preserve">. Inputting a code for each case </w:t>
      </w:r>
      <w:r w:rsidR="00A067A6">
        <w:t>is</w:t>
      </w:r>
      <w:r>
        <w:t xml:space="preserve"> time consuming. Including the original reason for move code also offer</w:t>
      </w:r>
      <w:r w:rsidR="00DF0C5A">
        <w:t>ed</w:t>
      </w:r>
      <w:r>
        <w:t xml:space="preserve"> </w:t>
      </w:r>
      <w:r w:rsidR="006B290E">
        <w:t>migration analysts</w:t>
      </w:r>
      <w:r>
        <w:t xml:space="preserve"> a sense of what the respondent </w:t>
      </w:r>
      <w:r w:rsidR="00BC74E4">
        <w:t>might have been</w:t>
      </w:r>
      <w:r>
        <w:t xml:space="preserve"> thinking when they selected the</w:t>
      </w:r>
      <w:r w:rsidR="0093174A">
        <w:t>ir choice.</w:t>
      </w:r>
      <w:r w:rsidR="00AD4776">
        <w:rPr>
          <w:rStyle w:val="FootnoteReference"/>
        </w:rPr>
        <w:footnoteReference w:id="8"/>
      </w:r>
      <w:r w:rsidR="0093174A">
        <w:t xml:space="preserve"> </w:t>
      </w:r>
      <w:r>
        <w:t>Finally, by including the original reason for move code o</w:t>
      </w:r>
      <w:r w:rsidR="004A4783">
        <w:t xml:space="preserve">n the file, the default action </w:t>
      </w:r>
      <w:r w:rsidR="00DF0C5A">
        <w:t>wa</w:t>
      </w:r>
      <w:r>
        <w:t>s to leave the response in the original reason for move</w:t>
      </w:r>
      <w:r w:rsidR="004A4783">
        <w:t xml:space="preserve"> category</w:t>
      </w:r>
      <w:r>
        <w:t>. Only write-</w:t>
      </w:r>
      <w:r w:rsidR="004A4783">
        <w:t xml:space="preserve">ins that </w:t>
      </w:r>
      <w:r w:rsidR="005448F1">
        <w:t>could</w:t>
      </w:r>
      <w:r w:rsidR="004A734D">
        <w:t xml:space="preserve"> </w:t>
      </w:r>
      <w:r w:rsidR="004A4783">
        <w:t>be recoded</w:t>
      </w:r>
      <w:r w:rsidR="00DF0C5A">
        <w:t xml:space="preserve"> we</w:t>
      </w:r>
      <w:r w:rsidR="004A4783">
        <w:t>re</w:t>
      </w:r>
      <w:r>
        <w:t xml:space="preserve"> changed, which </w:t>
      </w:r>
      <w:r w:rsidR="0093174A">
        <w:t>greatly reduce</w:t>
      </w:r>
      <w:r w:rsidR="00DF0C5A">
        <w:t>d</w:t>
      </w:r>
      <w:r w:rsidR="0093174A">
        <w:t xml:space="preserve"> the amount of coding necessary. </w:t>
      </w:r>
    </w:p>
    <w:p w:rsidR="00AC778E" w:rsidRDefault="00AC778E" w:rsidP="00D1472A">
      <w:pPr>
        <w:spacing w:line="480" w:lineRule="auto"/>
        <w:rPr>
          <w:b/>
        </w:rPr>
      </w:pPr>
    </w:p>
    <w:p w:rsidR="00354B45" w:rsidRDefault="00354B45" w:rsidP="00D1472A">
      <w:pPr>
        <w:spacing w:line="480" w:lineRule="auto"/>
        <w:rPr>
          <w:b/>
        </w:rPr>
      </w:pPr>
    </w:p>
    <w:p w:rsidR="00D1472A" w:rsidRPr="00AA6D85" w:rsidRDefault="00AA6D85" w:rsidP="00D1472A">
      <w:pPr>
        <w:spacing w:line="480" w:lineRule="auto"/>
        <w:rPr>
          <w:b/>
        </w:rPr>
      </w:pPr>
      <w:r>
        <w:rPr>
          <w:b/>
        </w:rPr>
        <w:t xml:space="preserve">Edit </w:t>
      </w:r>
      <w:r w:rsidR="00E614CA">
        <w:rPr>
          <w:b/>
        </w:rPr>
        <w:t>c</w:t>
      </w:r>
      <w:r>
        <w:rPr>
          <w:b/>
        </w:rPr>
        <w:t>hanges</w:t>
      </w:r>
      <w:r w:rsidR="00D1472A">
        <w:t xml:space="preserve"> </w:t>
      </w:r>
    </w:p>
    <w:p w:rsidR="007B7307" w:rsidRDefault="00D1472A" w:rsidP="00D1472A">
      <w:pPr>
        <w:spacing w:line="480" w:lineRule="auto"/>
        <w:ind w:firstLine="720"/>
      </w:pPr>
      <w:r>
        <w:t xml:space="preserve">The reason for move edit </w:t>
      </w:r>
      <w:r w:rsidR="007D179D">
        <w:t xml:space="preserve">was </w:t>
      </w:r>
      <w:r>
        <w:t>not altered in any way.</w:t>
      </w:r>
      <w:r w:rsidR="00567839">
        <w:t xml:space="preserve"> </w:t>
      </w:r>
      <w:r w:rsidR="00CA01AF">
        <w:t xml:space="preserve">The edit program </w:t>
      </w:r>
      <w:r w:rsidR="0060395E">
        <w:t xml:space="preserve">only </w:t>
      </w:r>
      <w:r w:rsidR="00CA01AF">
        <w:t>change</w:t>
      </w:r>
      <w:r w:rsidR="00354B45">
        <w:t>s</w:t>
      </w:r>
      <w:r w:rsidR="00CA01AF">
        <w:t xml:space="preserve"> cases with missing information or out of universe cases</w:t>
      </w:r>
      <w:r>
        <w:t>.</w:t>
      </w:r>
      <w:r>
        <w:rPr>
          <w:rStyle w:val="FootnoteReference"/>
        </w:rPr>
        <w:footnoteReference w:id="9"/>
      </w:r>
      <w:r>
        <w:t xml:space="preserve"> Since the expansion does not deal with missing or</w:t>
      </w:r>
      <w:r w:rsidR="00294D97">
        <w:t xml:space="preserve"> out of universe cases, there was</w:t>
      </w:r>
      <w:r>
        <w:t xml:space="preserve"> no reason</w:t>
      </w:r>
      <w:r w:rsidR="00657E22">
        <w:t xml:space="preserve"> for</w:t>
      </w:r>
      <w:r>
        <w:t xml:space="preserve"> the </w:t>
      </w:r>
      <w:r w:rsidR="00F10ED0">
        <w:t>edit</w:t>
      </w:r>
      <w:r>
        <w:t xml:space="preserve"> to change. </w:t>
      </w:r>
    </w:p>
    <w:p w:rsidR="00193EB0" w:rsidRDefault="00A07F81" w:rsidP="00D1472A">
      <w:pPr>
        <w:spacing w:line="480" w:lineRule="auto"/>
        <w:ind w:firstLine="720"/>
      </w:pPr>
      <w:r w:rsidRPr="008F0822">
        <w:t xml:space="preserve">While the </w:t>
      </w:r>
      <w:r w:rsidR="009521BC" w:rsidRPr="008F0822">
        <w:t>edit itself did not change</w:t>
      </w:r>
      <w:r w:rsidR="00D36348" w:rsidRPr="008F0822">
        <w:t xml:space="preserve">, </w:t>
      </w:r>
      <w:r w:rsidR="001F36C4" w:rsidRPr="008F0822">
        <w:t xml:space="preserve">any changes to the reason for move distribution would alter the distribution of donors </w:t>
      </w:r>
      <w:r w:rsidR="009521BC" w:rsidRPr="008F0822">
        <w:t>used for allocating missing values.</w:t>
      </w:r>
      <w:r w:rsidR="00B575EA" w:rsidRPr="008F0822">
        <w:rPr>
          <w:rStyle w:val="FootnoteReference"/>
        </w:rPr>
        <w:footnoteReference w:id="10"/>
      </w:r>
      <w:r w:rsidR="00D1472A">
        <w:t xml:space="preserve"> For instance, write-in cases </w:t>
      </w:r>
      <w:r w:rsidR="007B7307">
        <w:t>coded</w:t>
      </w:r>
      <w:r w:rsidR="00D1472A">
        <w:t xml:space="preserve"> from other housing into </w:t>
      </w:r>
      <w:r w:rsidR="00971AAB">
        <w:t>“</w:t>
      </w:r>
      <w:r w:rsidR="00D1472A">
        <w:t>wanted cheaper housing</w:t>
      </w:r>
      <w:r w:rsidR="00971AAB">
        <w:t>”</w:t>
      </w:r>
      <w:r w:rsidR="00D1472A">
        <w:t xml:space="preserve"> could slightly alter the allocated values of missing responses. </w:t>
      </w:r>
      <w:r w:rsidR="00971AAB">
        <w:t xml:space="preserve">As the number of </w:t>
      </w:r>
      <w:r w:rsidR="00D1472A">
        <w:t xml:space="preserve">cases in </w:t>
      </w:r>
      <w:r w:rsidR="0076133B">
        <w:t>“</w:t>
      </w:r>
      <w:r w:rsidR="00D1472A">
        <w:t>wanted cheaper housing</w:t>
      </w:r>
      <w:r w:rsidR="009521BC">
        <w:t>” increased</w:t>
      </w:r>
      <w:r w:rsidR="00971AAB">
        <w:t xml:space="preserve">, so </w:t>
      </w:r>
      <w:r w:rsidR="009521BC">
        <w:t>too would</w:t>
      </w:r>
      <w:r w:rsidR="00971AAB">
        <w:t xml:space="preserve"> the likelihood that </w:t>
      </w:r>
      <w:r w:rsidR="009521BC">
        <w:t>a missing response</w:t>
      </w:r>
      <w:r w:rsidR="00971AAB">
        <w:t xml:space="preserve"> </w:t>
      </w:r>
      <w:r w:rsidR="00D1472A">
        <w:t>receive</w:t>
      </w:r>
      <w:r w:rsidR="009521BC">
        <w:t>d</w:t>
      </w:r>
      <w:r w:rsidR="00D1472A">
        <w:t xml:space="preserve"> it as an allocated reason for move value.</w:t>
      </w:r>
      <w:r>
        <w:t xml:space="preserve"> </w:t>
      </w:r>
      <w:r w:rsidRPr="00274F09">
        <w:t>T</w:t>
      </w:r>
      <w:r w:rsidR="002619FE" w:rsidRPr="00274F09">
        <w:t xml:space="preserve">herefore, the final reason for move distribution would change to more closely resemble the distribution of reason for move responses after </w:t>
      </w:r>
      <w:r w:rsidR="009521BC" w:rsidRPr="00274F09">
        <w:t>coding</w:t>
      </w:r>
      <w:r w:rsidR="002619FE" w:rsidRPr="00274F09">
        <w:t>.</w:t>
      </w:r>
      <w:r w:rsidR="002619FE">
        <w:t xml:space="preserve"> </w:t>
      </w:r>
    </w:p>
    <w:p w:rsidR="00D33E3E" w:rsidRDefault="002B3D5B" w:rsidP="002B3D5B">
      <w:pPr>
        <w:spacing w:line="480" w:lineRule="auto"/>
        <w:rPr>
          <w:b/>
        </w:rPr>
      </w:pPr>
      <w:r w:rsidRPr="002B3D5B">
        <w:rPr>
          <w:b/>
        </w:rPr>
        <w:t xml:space="preserve">Expansion </w:t>
      </w:r>
      <w:r w:rsidR="00E614CA">
        <w:rPr>
          <w:b/>
        </w:rPr>
        <w:t>j</w:t>
      </w:r>
      <w:r w:rsidRPr="002B3D5B">
        <w:rPr>
          <w:b/>
        </w:rPr>
        <w:t>ustifications</w:t>
      </w:r>
      <w:r w:rsidR="0023384A">
        <w:rPr>
          <w:b/>
        </w:rPr>
        <w:t xml:space="preserve"> </w:t>
      </w:r>
    </w:p>
    <w:p w:rsidR="002B3D5B" w:rsidRPr="00AC778E" w:rsidRDefault="00AB77A5" w:rsidP="0039608A">
      <w:pPr>
        <w:spacing w:line="480" w:lineRule="auto"/>
        <w:rPr>
          <w:b/>
          <w:i/>
        </w:rPr>
      </w:pPr>
      <w:r w:rsidRPr="00AC778E">
        <w:rPr>
          <w:b/>
          <w:i/>
        </w:rPr>
        <w:t xml:space="preserve">The </w:t>
      </w:r>
      <w:r w:rsidR="00E614CA" w:rsidRPr="00AC778E">
        <w:rPr>
          <w:b/>
          <w:i/>
        </w:rPr>
        <w:t>s</w:t>
      </w:r>
      <w:r w:rsidR="002F5D62" w:rsidRPr="00AC778E">
        <w:rPr>
          <w:b/>
          <w:i/>
        </w:rPr>
        <w:t xml:space="preserve">hift </w:t>
      </w:r>
      <w:r w:rsidR="00E614CA" w:rsidRPr="00AC778E">
        <w:rPr>
          <w:b/>
          <w:i/>
        </w:rPr>
        <w:t>a</w:t>
      </w:r>
      <w:r w:rsidR="003C0995" w:rsidRPr="00AC778E">
        <w:rPr>
          <w:b/>
          <w:i/>
        </w:rPr>
        <w:t xml:space="preserve">way </w:t>
      </w:r>
      <w:r w:rsidR="00E614CA" w:rsidRPr="00AC778E">
        <w:rPr>
          <w:b/>
          <w:i/>
        </w:rPr>
        <w:t>f</w:t>
      </w:r>
      <w:r w:rsidR="003C0995" w:rsidRPr="00AC778E">
        <w:rPr>
          <w:b/>
          <w:i/>
        </w:rPr>
        <w:t xml:space="preserve">rom </w:t>
      </w:r>
      <w:r w:rsidR="00E614CA" w:rsidRPr="00AC778E">
        <w:rPr>
          <w:b/>
          <w:i/>
        </w:rPr>
        <w:t>o</w:t>
      </w:r>
      <w:r w:rsidR="003C0995" w:rsidRPr="00AC778E">
        <w:rPr>
          <w:b/>
          <w:i/>
        </w:rPr>
        <w:t xml:space="preserve">ther </w:t>
      </w:r>
      <w:r w:rsidR="00BC05FA" w:rsidRPr="00AC778E">
        <w:rPr>
          <w:b/>
          <w:i/>
        </w:rPr>
        <w:t>r</w:t>
      </w:r>
      <w:r w:rsidR="003C0995" w:rsidRPr="00AC778E">
        <w:rPr>
          <w:b/>
          <w:i/>
        </w:rPr>
        <w:t xml:space="preserve">eason </w:t>
      </w:r>
      <w:r w:rsidR="00BC05FA" w:rsidRPr="00AC778E">
        <w:rPr>
          <w:b/>
          <w:i/>
        </w:rPr>
        <w:t>t</w:t>
      </w:r>
      <w:r w:rsidR="003C0995" w:rsidRPr="00AC778E">
        <w:rPr>
          <w:b/>
          <w:i/>
        </w:rPr>
        <w:t>owards</w:t>
      </w:r>
      <w:r w:rsidR="002F5D62" w:rsidRPr="00AC778E">
        <w:rPr>
          <w:b/>
          <w:i/>
        </w:rPr>
        <w:t xml:space="preserve"> </w:t>
      </w:r>
      <w:r w:rsidR="00E614CA" w:rsidRPr="00AC778E">
        <w:rPr>
          <w:b/>
          <w:i/>
        </w:rPr>
        <w:t>o</w:t>
      </w:r>
      <w:r w:rsidR="002F5D62" w:rsidRPr="00AC778E">
        <w:rPr>
          <w:b/>
          <w:i/>
        </w:rPr>
        <w:t xml:space="preserve">ther </w:t>
      </w:r>
      <w:r w:rsidR="00E614CA" w:rsidRPr="00AC778E">
        <w:rPr>
          <w:b/>
          <w:i/>
        </w:rPr>
        <w:t>f</w:t>
      </w:r>
      <w:r w:rsidR="002F5D62" w:rsidRPr="00AC778E">
        <w:rPr>
          <w:b/>
          <w:i/>
        </w:rPr>
        <w:t xml:space="preserve">amily, </w:t>
      </w:r>
      <w:r w:rsidR="00E614CA" w:rsidRPr="00AC778E">
        <w:rPr>
          <w:b/>
          <w:i/>
        </w:rPr>
        <w:t>o</w:t>
      </w:r>
      <w:r w:rsidR="002F5D62" w:rsidRPr="00AC778E">
        <w:rPr>
          <w:b/>
          <w:i/>
        </w:rPr>
        <w:t>ther</w:t>
      </w:r>
      <w:r w:rsidR="00BC05FA" w:rsidRPr="00AC778E">
        <w:rPr>
          <w:b/>
          <w:i/>
        </w:rPr>
        <w:t xml:space="preserve"> </w:t>
      </w:r>
      <w:r w:rsidR="00CA01AF" w:rsidRPr="00AC778E">
        <w:rPr>
          <w:b/>
          <w:i/>
        </w:rPr>
        <w:t>job-related</w:t>
      </w:r>
      <w:r w:rsidR="00743783" w:rsidRPr="00AC778E">
        <w:rPr>
          <w:b/>
          <w:i/>
        </w:rPr>
        <w:t>,</w:t>
      </w:r>
      <w:r w:rsidR="002F5D62" w:rsidRPr="00AC778E">
        <w:rPr>
          <w:b/>
          <w:i/>
        </w:rPr>
        <w:t xml:space="preserve"> and </w:t>
      </w:r>
      <w:r w:rsidR="00E614CA" w:rsidRPr="00AC778E">
        <w:rPr>
          <w:b/>
          <w:i/>
        </w:rPr>
        <w:t>o</w:t>
      </w:r>
      <w:r w:rsidR="002F5D62" w:rsidRPr="00AC778E">
        <w:rPr>
          <w:b/>
          <w:i/>
        </w:rPr>
        <w:t xml:space="preserve">ther </w:t>
      </w:r>
      <w:r w:rsidR="00E614CA" w:rsidRPr="00AC778E">
        <w:rPr>
          <w:b/>
          <w:i/>
        </w:rPr>
        <w:t>h</w:t>
      </w:r>
      <w:r w:rsidR="002F5D62" w:rsidRPr="00AC778E">
        <w:rPr>
          <w:b/>
          <w:i/>
        </w:rPr>
        <w:t>ousing</w:t>
      </w:r>
      <w:r w:rsidR="00561F48" w:rsidRPr="00AC778E">
        <w:rPr>
          <w:b/>
          <w:i/>
        </w:rPr>
        <w:t xml:space="preserve"> reasons</w:t>
      </w:r>
    </w:p>
    <w:p w:rsidR="002F5D62" w:rsidRDefault="00CE2FF5" w:rsidP="002F5D62">
      <w:pPr>
        <w:spacing w:line="480" w:lineRule="auto"/>
        <w:ind w:firstLine="720"/>
      </w:pPr>
      <w:r>
        <w:t>T</w:t>
      </w:r>
      <w:r w:rsidR="002F5D62">
        <w:t xml:space="preserve">he four other categories (family, job-related, housing, and other) have been </w:t>
      </w:r>
      <w:r w:rsidR="00FC2FA5">
        <w:t>response</w:t>
      </w:r>
      <w:r w:rsidR="002F5D62">
        <w:t xml:space="preserve"> </w:t>
      </w:r>
      <w:r w:rsidR="00FC2FA5">
        <w:t>categories</w:t>
      </w:r>
      <w:r w:rsidR="002F5D62">
        <w:t xml:space="preserve"> since 1998. In order to visually depict change over time, </w:t>
      </w:r>
      <w:r w:rsidR="002F5D62" w:rsidRPr="00892179">
        <w:rPr>
          <w:b/>
        </w:rPr>
        <w:t>Figure 1</w:t>
      </w:r>
      <w:r w:rsidR="002F5D62">
        <w:t xml:space="preserve"> displays percentages of </w:t>
      </w:r>
      <w:r w:rsidR="008F24FD">
        <w:t>“</w:t>
      </w:r>
      <w:r w:rsidR="002F5D62">
        <w:t>other reason</w:t>
      </w:r>
      <w:r w:rsidR="008F24FD">
        <w:t>”</w:t>
      </w:r>
      <w:r w:rsidR="002F5D62">
        <w:t xml:space="preserve"> and a single, combined estimate for other family, other job-related, and other housing </w:t>
      </w:r>
      <w:r w:rsidR="00440E03">
        <w:t xml:space="preserve">reasons </w:t>
      </w:r>
      <w:r w:rsidR="002A5D8D">
        <w:t>between 1999 and 2016</w:t>
      </w:r>
      <w:r w:rsidR="002F5D62">
        <w:t>.</w:t>
      </w:r>
      <w:r w:rsidR="002F5D62">
        <w:rPr>
          <w:rStyle w:val="FootnoteReference"/>
        </w:rPr>
        <w:footnoteReference w:id="11"/>
      </w:r>
      <w:r w:rsidR="00537223" w:rsidRPr="00960148">
        <w:rPr>
          <w:vertAlign w:val="superscript"/>
        </w:rPr>
        <w:t>,</w:t>
      </w:r>
      <w:r w:rsidR="00537223">
        <w:rPr>
          <w:rStyle w:val="FootnoteReference"/>
        </w:rPr>
        <w:footnoteReference w:id="12"/>
      </w:r>
      <w:r w:rsidR="002F5D62">
        <w:t xml:space="preserve"> </w:t>
      </w:r>
    </w:p>
    <w:p w:rsidR="002F5D62" w:rsidRDefault="00DD42FF" w:rsidP="002F5D62">
      <w:pPr>
        <w:spacing w:line="480" w:lineRule="auto"/>
        <w:ind w:firstLine="720"/>
      </w:pPr>
      <w:r>
        <w:t>As illustrated in this figure, there has been</w:t>
      </w:r>
      <w:r w:rsidR="00470F3B">
        <w:t xml:space="preserve"> a shift away from other reason towards other family, other job-related, and other housing.</w:t>
      </w:r>
      <w:r>
        <w:t xml:space="preserve"> </w:t>
      </w:r>
      <w:r w:rsidR="002F5D62">
        <w:t>Responses in the other reason category accounted for 4.1 percent of all reasons in 1999, the first comparable year. This nu</w:t>
      </w:r>
      <w:r w:rsidR="00FF7388">
        <w:t>mber fell to 1.7 percent by 2006</w:t>
      </w:r>
      <w:r w:rsidR="002F5D62">
        <w:t>, but gradually rebounded to 4.8 percent by 2009. The timing corresponds to the Great Recession, which suggests that other reasons</w:t>
      </w:r>
      <w:r w:rsidR="00975D3B">
        <w:t xml:space="preserve"> were selected more</w:t>
      </w:r>
      <w:r w:rsidR="002F5D62">
        <w:t xml:space="preserve"> </w:t>
      </w:r>
      <w:r w:rsidR="00C821F7">
        <w:t xml:space="preserve">often </w:t>
      </w:r>
      <w:r w:rsidR="002F5D62">
        <w:t>during that period. A few years after the recession officially ended, the estimate fell from 4.1 percent in 2011 to 0.9 percent in 2012.</w:t>
      </w:r>
      <w:r w:rsidR="00A437AB">
        <w:rPr>
          <w:rStyle w:val="FootnoteReference"/>
        </w:rPr>
        <w:footnoteReference w:id="13"/>
      </w:r>
      <w:r w:rsidR="002F5D62">
        <w:t xml:space="preserve"> It remained below 2.0 percent </w:t>
      </w:r>
      <w:r w:rsidR="00923BA3">
        <w:t>between 2012 and 2015</w:t>
      </w:r>
      <w:r w:rsidR="002F5D62">
        <w:t xml:space="preserve">. </w:t>
      </w:r>
    </w:p>
    <w:p w:rsidR="002C7DEC" w:rsidRDefault="002F5D62" w:rsidP="002F5D62">
      <w:pPr>
        <w:spacing w:line="480" w:lineRule="auto"/>
        <w:ind w:firstLine="720"/>
      </w:pPr>
      <w:r>
        <w:t>Because reason for move estimates all have the same denominator, movers 1 year and over, a decrease in one reason must result in an increase in another.</w:t>
      </w:r>
      <w:r>
        <w:rPr>
          <w:rStyle w:val="FootnoteReference"/>
        </w:rPr>
        <w:footnoteReference w:id="14"/>
      </w:r>
      <w:r w:rsidR="00575FBF">
        <w:t xml:space="preserve"> When other reason</w:t>
      </w:r>
      <w:r>
        <w:t xml:space="preserve"> fell to low levels in 2012, other family, other </w:t>
      </w:r>
      <w:r w:rsidR="00CA01AF">
        <w:t>job-related</w:t>
      </w:r>
      <w:r w:rsidR="001A0B71">
        <w:t>,</w:t>
      </w:r>
      <w:r>
        <w:t xml:space="preserve"> and other housing dramatically increased. The combined estimate for these three categories went from 23.1 percent in 2011 to 28.7 percent in 2012. By 2013, 31</w:t>
      </w:r>
      <w:r w:rsidR="0028697E">
        <w:t>.0</w:t>
      </w:r>
      <w:r>
        <w:t xml:space="preserve"> percent of respondents were selecting one of these three reasons. Stated differently, nearly </w:t>
      </w:r>
      <w:r w:rsidR="00CA01AF">
        <w:t>three</w:t>
      </w:r>
      <w:r>
        <w:t xml:space="preserve"> out of every 10 movers </w:t>
      </w:r>
      <w:r w:rsidR="00654D96">
        <w:t>selected</w:t>
      </w:r>
      <w:r>
        <w:t xml:space="preserve"> other family, other </w:t>
      </w:r>
      <w:r w:rsidR="00CA01AF">
        <w:t>job-related</w:t>
      </w:r>
      <w:r w:rsidR="00304B41">
        <w:t>,</w:t>
      </w:r>
      <w:r>
        <w:t xml:space="preserve"> or other housing as their main reason for moving</w:t>
      </w:r>
      <w:r w:rsidR="00F96355">
        <w:t xml:space="preserve"> in 2013</w:t>
      </w:r>
      <w:r>
        <w:t>.</w:t>
      </w:r>
      <w:r w:rsidR="00E70BC8">
        <w:t xml:space="preserve"> </w:t>
      </w:r>
      <w:r w:rsidR="000651E5" w:rsidRPr="001E7DF3">
        <w:t xml:space="preserve">At that time, </w:t>
      </w:r>
      <w:r w:rsidR="00BA355C" w:rsidRPr="001E7DF3">
        <w:t xml:space="preserve">none of the </w:t>
      </w:r>
      <w:r w:rsidR="000651E5" w:rsidRPr="001E7DF3">
        <w:t>movers who selec</w:t>
      </w:r>
      <w:r w:rsidR="00D66835" w:rsidRPr="001E7DF3">
        <w:t>ted these three reasons were</w:t>
      </w:r>
      <w:r w:rsidR="000651E5" w:rsidRPr="001E7DF3">
        <w:t xml:space="preserve"> asked to specify through the write-in field. </w:t>
      </w:r>
      <w:r w:rsidR="00941F09" w:rsidRPr="001E7DF3">
        <w:t xml:space="preserve">This severely limited </w:t>
      </w:r>
      <w:r w:rsidR="003F0270" w:rsidRPr="001E7DF3">
        <w:t xml:space="preserve">the understanding of why they were selected. </w:t>
      </w:r>
    </w:p>
    <w:p w:rsidR="002B3D5B" w:rsidRDefault="00E70BC8" w:rsidP="002F5D62">
      <w:pPr>
        <w:spacing w:line="480" w:lineRule="auto"/>
        <w:ind w:firstLine="720"/>
      </w:pPr>
      <w:r>
        <w:t>The adoption of the write-in expansion provide</w:t>
      </w:r>
      <w:r w:rsidR="004C7C3F">
        <w:t>d</w:t>
      </w:r>
      <w:r>
        <w:t xml:space="preserve"> migration analysts with a better understanding of what these categories contain</w:t>
      </w:r>
      <w:r w:rsidR="004C7C3F">
        <w:t>ed</w:t>
      </w:r>
      <w:r w:rsidR="003C0967">
        <w:t xml:space="preserve"> and which reasons should be considered for future reason for move lists.</w:t>
      </w:r>
      <w:r w:rsidR="000D742F">
        <w:t xml:space="preserve"> </w:t>
      </w:r>
      <w:r w:rsidR="004C7C3F">
        <w:t>Previously</w:t>
      </w:r>
      <w:r w:rsidR="002C7DEC">
        <w:t xml:space="preserve">, only </w:t>
      </w:r>
      <w:r w:rsidR="004968C4">
        <w:t>cases in “</w:t>
      </w:r>
      <w:r w:rsidR="002C7DEC">
        <w:t>other reason</w:t>
      </w:r>
      <w:r w:rsidR="004C7C3F">
        <w:t>” were</w:t>
      </w:r>
      <w:r w:rsidR="004968C4">
        <w:t xml:space="preserve"> </w:t>
      </w:r>
      <w:proofErr w:type="spellStart"/>
      <w:r w:rsidR="004968C4">
        <w:t>codable</w:t>
      </w:r>
      <w:proofErr w:type="spellEnd"/>
      <w:r w:rsidR="002C7DEC">
        <w:t xml:space="preserve">. </w:t>
      </w:r>
      <w:r w:rsidR="00F1607D">
        <w:t>Wh</w:t>
      </w:r>
      <w:r w:rsidR="004C7C3F">
        <w:t>en reasons were</w:t>
      </w:r>
      <w:r w:rsidR="00F1607D">
        <w:t xml:space="preserve"> coded from “other reason” to other family, job-related, or housing, t</w:t>
      </w:r>
      <w:r w:rsidR="004C7C3F">
        <w:t>here was</w:t>
      </w:r>
      <w:r w:rsidR="002C7DEC">
        <w:t xml:space="preserve"> no indication how </w:t>
      </w:r>
      <w:r w:rsidR="00F1607D">
        <w:t>representative</w:t>
      </w:r>
      <w:r w:rsidR="002C7DEC">
        <w:t xml:space="preserve"> these respon</w:t>
      </w:r>
      <w:r w:rsidR="00F1607D">
        <w:t xml:space="preserve">ses </w:t>
      </w:r>
      <w:r w:rsidR="004C7C3F">
        <w:t>were</w:t>
      </w:r>
      <w:r w:rsidR="00F1607D">
        <w:t xml:space="preserve"> among movers</w:t>
      </w:r>
      <w:r w:rsidR="002C7DEC">
        <w:t xml:space="preserve">. </w:t>
      </w:r>
      <w:r w:rsidR="00BD675F">
        <w:t>Now that</w:t>
      </w:r>
      <w:r w:rsidR="00D35413">
        <w:t xml:space="preserve"> write-in responses </w:t>
      </w:r>
      <w:r w:rsidR="00A72EB8">
        <w:t xml:space="preserve">are collected </w:t>
      </w:r>
      <w:r w:rsidR="00D35413">
        <w:t xml:space="preserve">for all four “other” categories, we can determine </w:t>
      </w:r>
      <w:r w:rsidR="008C3EC8">
        <w:t xml:space="preserve">the prevalence </w:t>
      </w:r>
      <w:r w:rsidR="00A72EB8">
        <w:t>of specific reasons within</w:t>
      </w:r>
      <w:r w:rsidR="00D35413">
        <w:t xml:space="preserve"> each</w:t>
      </w:r>
      <w:r w:rsidR="00A72EB8">
        <w:t xml:space="preserve"> “other” category</w:t>
      </w:r>
      <w:r w:rsidR="00B633D7">
        <w:t xml:space="preserve">. </w:t>
      </w:r>
    </w:p>
    <w:p w:rsidR="00AB1C17" w:rsidRPr="00AC778E" w:rsidRDefault="00512FD1" w:rsidP="0039608A">
      <w:pPr>
        <w:spacing w:line="480" w:lineRule="auto"/>
        <w:rPr>
          <w:i/>
        </w:rPr>
      </w:pPr>
      <w:r w:rsidRPr="00AC778E">
        <w:rPr>
          <w:b/>
          <w:i/>
        </w:rPr>
        <w:t>Missed opportunity to collect data</w:t>
      </w:r>
    </w:p>
    <w:p w:rsidR="00A81F77" w:rsidRDefault="00B17D2B" w:rsidP="00D1472A">
      <w:pPr>
        <w:spacing w:line="480" w:lineRule="auto"/>
        <w:ind w:firstLine="720"/>
      </w:pPr>
      <w:r>
        <w:t>When respondents select</w:t>
      </w:r>
      <w:r w:rsidR="00904D08">
        <w:t>ed</w:t>
      </w:r>
      <w:r>
        <w:t xml:space="preserve"> other family, other </w:t>
      </w:r>
      <w:r w:rsidR="00DF62FA">
        <w:t>job-related,</w:t>
      </w:r>
      <w:r>
        <w:t xml:space="preserve"> or other housing</w:t>
      </w:r>
      <w:r w:rsidR="005A1F9D">
        <w:t xml:space="preserve"> during the survey</w:t>
      </w:r>
      <w:r>
        <w:t xml:space="preserve">, </w:t>
      </w:r>
      <w:r w:rsidR="0031276E">
        <w:t xml:space="preserve">their specific reason </w:t>
      </w:r>
      <w:r w:rsidR="00AC48D8">
        <w:t>wa</w:t>
      </w:r>
      <w:r w:rsidR="0031276E">
        <w:t xml:space="preserve">s </w:t>
      </w:r>
      <w:r w:rsidR="005A1F9D">
        <w:t>not</w:t>
      </w:r>
      <w:r w:rsidR="00AC48D8">
        <w:t xml:space="preserve"> </w:t>
      </w:r>
      <w:r w:rsidR="005A1F9D">
        <w:t>captured</w:t>
      </w:r>
      <w:r w:rsidR="0031276E">
        <w:t>.</w:t>
      </w:r>
      <w:r w:rsidR="008731AB">
        <w:t xml:space="preserve"> They might mention specific details</w:t>
      </w:r>
      <w:r w:rsidR="00735E02">
        <w:t xml:space="preserve"> to the f</w:t>
      </w:r>
      <w:r w:rsidR="008731AB">
        <w:t xml:space="preserve">ield </w:t>
      </w:r>
      <w:r w:rsidR="00735E02">
        <w:t>r</w:t>
      </w:r>
      <w:r w:rsidR="008731AB">
        <w:t>epresentative (e</w:t>
      </w:r>
      <w:r w:rsidR="005D1E05">
        <w:t>.g.</w:t>
      </w:r>
      <w:r w:rsidR="00C57068">
        <w:t>,</w:t>
      </w:r>
      <w:r w:rsidR="005D1E05">
        <w:t xml:space="preserve"> my lease ended), but there wa</w:t>
      </w:r>
      <w:r w:rsidR="008731AB">
        <w:t xml:space="preserve">s nowhere to record this information. </w:t>
      </w:r>
      <w:r w:rsidR="005A1F9D">
        <w:t>This result</w:t>
      </w:r>
      <w:r w:rsidR="005D1E05">
        <w:t>ed</w:t>
      </w:r>
      <w:r w:rsidR="005A1F9D">
        <w:t xml:space="preserve"> in </w:t>
      </w:r>
      <w:r w:rsidR="005410ED">
        <w:t>“</w:t>
      </w:r>
      <w:r w:rsidR="00735E02">
        <w:t>other</w:t>
      </w:r>
      <w:r w:rsidR="005410ED">
        <w:t>”</w:t>
      </w:r>
      <w:r w:rsidR="00735E02">
        <w:t xml:space="preserve"> </w:t>
      </w:r>
      <w:r w:rsidR="005A1F9D">
        <w:t>categories</w:t>
      </w:r>
      <w:r w:rsidR="00A553C2">
        <w:t xml:space="preserve"> with pot</w:t>
      </w:r>
      <w:r w:rsidR="005A1F9D">
        <w:t>entially unlimited reasons,</w:t>
      </w:r>
      <w:r w:rsidR="00A553C2">
        <w:t xml:space="preserve"> </w:t>
      </w:r>
      <w:r w:rsidR="005A1F9D">
        <w:t xml:space="preserve">only a few </w:t>
      </w:r>
      <w:r w:rsidR="00A553C2">
        <w:t xml:space="preserve">of which </w:t>
      </w:r>
      <w:r w:rsidR="005D1E05">
        <w:t xml:space="preserve">were </w:t>
      </w:r>
      <w:r w:rsidR="00017FFE">
        <w:t>identifiable</w:t>
      </w:r>
      <w:r w:rsidR="00A81F77">
        <w:t xml:space="preserve"> through </w:t>
      </w:r>
      <w:r w:rsidR="00A1109C">
        <w:t>the</w:t>
      </w:r>
      <w:r w:rsidR="008419ED">
        <w:t xml:space="preserve"> old</w:t>
      </w:r>
      <w:r w:rsidR="00A1109C">
        <w:t xml:space="preserve"> </w:t>
      </w:r>
      <w:r w:rsidR="00A81F77">
        <w:t>write-in coding</w:t>
      </w:r>
      <w:r w:rsidR="00A1109C">
        <w:t xml:space="preserve"> process</w:t>
      </w:r>
      <w:r w:rsidR="00A81F77">
        <w:t>.</w:t>
      </w:r>
    </w:p>
    <w:p w:rsidR="00A81F77" w:rsidRDefault="00A81F77" w:rsidP="00A81F77">
      <w:pPr>
        <w:spacing w:line="480" w:lineRule="auto"/>
        <w:ind w:firstLine="720"/>
      </w:pPr>
      <w:r>
        <w:t>A</w:t>
      </w:r>
      <w:r w:rsidR="00DE5826">
        <w:t xml:space="preserve">n </w:t>
      </w:r>
      <w:r>
        <w:t xml:space="preserve">example of how </w:t>
      </w:r>
      <w:r w:rsidR="00512FD1">
        <w:t>missed opportunities to collect data</w:t>
      </w:r>
      <w:r>
        <w:t xml:space="preserve"> </w:t>
      </w:r>
      <w:r w:rsidR="00E52180">
        <w:t xml:space="preserve">could </w:t>
      </w:r>
      <w:r>
        <w:t>hinder analysis occurred in 2011.</w:t>
      </w:r>
      <w:r w:rsidRPr="00A81F77">
        <w:t xml:space="preserve"> </w:t>
      </w:r>
      <w:r>
        <w:t xml:space="preserve">An outside stakeholder </w:t>
      </w:r>
      <w:r w:rsidR="002032D3">
        <w:t>asked</w:t>
      </w:r>
      <w:r>
        <w:t xml:space="preserve"> about the prevalence of movers responding with foreclosure or eviction-related reasons in ASEC. Neither foreclosure nor </w:t>
      </w:r>
      <w:r w:rsidR="00CA01AF">
        <w:t>eviction was</w:t>
      </w:r>
      <w:r>
        <w:t xml:space="preserve"> offered as </w:t>
      </w:r>
      <w:r w:rsidR="002032D3">
        <w:t>response categories</w:t>
      </w:r>
      <w:r>
        <w:t xml:space="preserve"> on the 2011 questionnaire. The only way </w:t>
      </w:r>
      <w:r w:rsidR="005749AB">
        <w:t>to</w:t>
      </w:r>
      <w:r>
        <w:t xml:space="preserve"> identify moves caused by foreclosures or evictions was through write-in responses to the other reason category. Cases that mentioned foreclosure or eviction were placed into a new “foreclosure/eviction” category.</w:t>
      </w:r>
      <w:r w:rsidR="00AB1B93">
        <w:rPr>
          <w:rStyle w:val="FootnoteReference"/>
        </w:rPr>
        <w:footnoteReference w:id="15"/>
      </w:r>
      <w:r>
        <w:t xml:space="preserve"> </w:t>
      </w:r>
    </w:p>
    <w:p w:rsidR="00616692" w:rsidRDefault="00A81F77" w:rsidP="00261FF0">
      <w:pPr>
        <w:spacing w:line="480" w:lineRule="auto"/>
        <w:ind w:firstLine="720"/>
      </w:pPr>
      <w:r>
        <w:t xml:space="preserve">The 2011 </w:t>
      </w:r>
      <w:r w:rsidR="00E52180">
        <w:t xml:space="preserve">ASEC </w:t>
      </w:r>
      <w:r w:rsidR="00E26CAA">
        <w:t xml:space="preserve">estimate </w:t>
      </w:r>
      <w:r>
        <w:t xml:space="preserve">for foreclosure/eviction was 1.2 percent, but this was likely an </w:t>
      </w:r>
      <w:r w:rsidR="006C6783">
        <w:t>underestimate</w:t>
      </w:r>
      <w:r>
        <w:t xml:space="preserve">. A reasonable assumption can be made that </w:t>
      </w:r>
      <w:r w:rsidR="00735E02">
        <w:t xml:space="preserve">most </w:t>
      </w:r>
      <w:r>
        <w:t xml:space="preserve">movers and field representatives placed foreclosure or eviction-related reasons into other housing rather than the other reason category. Without a write-in option attached to other housing, it </w:t>
      </w:r>
      <w:r w:rsidR="00735E02">
        <w:t>wa</w:t>
      </w:r>
      <w:r>
        <w:t xml:space="preserve">s impossible to determine the exact reason why someone moved. Because foreclosure/eviction cases could not be identified in the other housing reason category, they could not be placed into the new foreclosure/eviction reason. This issue was resolved when foreclosure/eviction became a selectable option on the 2012 ASEC. The </w:t>
      </w:r>
      <w:r w:rsidR="00CA01AF">
        <w:t>2012 foreclosure</w:t>
      </w:r>
      <w:r>
        <w:t>/eviction estimate was 2.2 percent</w:t>
      </w:r>
      <w:r w:rsidR="00261FF0">
        <w:t xml:space="preserve">, likely a </w:t>
      </w:r>
      <w:r w:rsidR="00091B18">
        <w:t>more accurate estimate than the</w:t>
      </w:r>
      <w:r w:rsidR="00261FF0">
        <w:t xml:space="preserve"> 2011 estimate. </w:t>
      </w:r>
    </w:p>
    <w:p w:rsidR="007A37C8" w:rsidRDefault="000D742F" w:rsidP="00261FF0">
      <w:pPr>
        <w:spacing w:line="480" w:lineRule="auto"/>
        <w:ind w:firstLine="720"/>
      </w:pPr>
      <w:r>
        <w:t>The write-in expansi</w:t>
      </w:r>
      <w:r w:rsidR="00616692">
        <w:t>on resolve</w:t>
      </w:r>
      <w:r w:rsidR="002F394E">
        <w:t>s</w:t>
      </w:r>
      <w:r w:rsidR="00616692">
        <w:t xml:space="preserve"> these </w:t>
      </w:r>
      <w:r w:rsidR="00651C23">
        <w:t xml:space="preserve">missed </w:t>
      </w:r>
      <w:r w:rsidR="00616692">
        <w:t>opportunities to collect data</w:t>
      </w:r>
      <w:r>
        <w:t xml:space="preserve"> as field representatives will have access to</w:t>
      </w:r>
      <w:r w:rsidR="00C73FD1">
        <w:t xml:space="preserve"> a write-in screen </w:t>
      </w:r>
      <w:r>
        <w:t xml:space="preserve">capable of recording the respondent’s </w:t>
      </w:r>
      <w:r w:rsidR="00F048A0">
        <w:t>reason</w:t>
      </w:r>
      <w:r>
        <w:t xml:space="preserve"> verbatim.</w:t>
      </w:r>
      <w:r w:rsidR="0017451D">
        <w:t xml:space="preserve"> The information can later</w:t>
      </w:r>
      <w:r w:rsidR="008C3EC8">
        <w:t xml:space="preserve"> be used for coding purposes</w:t>
      </w:r>
      <w:r w:rsidR="0017451D">
        <w:t>.</w:t>
      </w:r>
      <w:r w:rsidR="00A7590C">
        <w:t xml:space="preserve"> For example, some respondents may be placing </w:t>
      </w:r>
      <w:r w:rsidR="00C73FD1">
        <w:t>“</w:t>
      </w:r>
      <w:r w:rsidR="00A7590C">
        <w:t>moved in with boyfriend/girlfriend/</w:t>
      </w:r>
      <w:r w:rsidR="00C73FD1">
        <w:t xml:space="preserve">unmarried </w:t>
      </w:r>
      <w:r w:rsidR="00A7590C">
        <w:t>same-sex partner/fiancé</w:t>
      </w:r>
      <w:r w:rsidR="00C73FD1">
        <w:t>”</w:t>
      </w:r>
      <w:r w:rsidR="00A7590C">
        <w:t xml:space="preserve"> into </w:t>
      </w:r>
      <w:r w:rsidR="00D8629F">
        <w:t xml:space="preserve">the </w:t>
      </w:r>
      <w:r w:rsidR="00A7590C">
        <w:t>ot</w:t>
      </w:r>
      <w:r w:rsidR="00833962">
        <w:t xml:space="preserve">her family reason. According to </w:t>
      </w:r>
      <w:r w:rsidR="0013568A">
        <w:t xml:space="preserve">the </w:t>
      </w:r>
      <w:r w:rsidR="00833962">
        <w:t>reason for move coding rules</w:t>
      </w:r>
      <w:r w:rsidR="00A7590C">
        <w:t>,</w:t>
      </w:r>
      <w:r w:rsidR="00EE5BAA">
        <w:t xml:space="preserve"> unless they are married, these relationships</w:t>
      </w:r>
      <w:r w:rsidR="007855EB">
        <w:t xml:space="preserve"> cannot be coded to</w:t>
      </w:r>
      <w:r w:rsidR="00A7590C">
        <w:t xml:space="preserve"> any of the family-related reasons.</w:t>
      </w:r>
      <w:r w:rsidR="00C643A6">
        <w:t xml:space="preserve"> Without collecting specific write-in information, we would have no idea how often this occurs</w:t>
      </w:r>
      <w:r w:rsidR="00E2531F">
        <w:t xml:space="preserve"> and could not recode accordingly</w:t>
      </w:r>
      <w:r w:rsidR="00C643A6">
        <w:t xml:space="preserve">. </w:t>
      </w:r>
    </w:p>
    <w:p w:rsidR="0009200A" w:rsidRPr="006A1094" w:rsidRDefault="006A1094" w:rsidP="00603026">
      <w:pPr>
        <w:spacing w:line="480" w:lineRule="auto"/>
        <w:rPr>
          <w:b/>
        </w:rPr>
      </w:pPr>
      <w:r w:rsidRPr="006A1094">
        <w:rPr>
          <w:b/>
        </w:rPr>
        <w:t>2016 ASEC Results</w:t>
      </w:r>
    </w:p>
    <w:p w:rsidR="00423768" w:rsidRDefault="00F87B8D">
      <w:pPr>
        <w:spacing w:line="480" w:lineRule="auto"/>
      </w:pPr>
      <w:r>
        <w:tab/>
      </w:r>
      <w:r w:rsidR="00AC4A72">
        <w:t>With the successful implementation of the reason for move write-in</w:t>
      </w:r>
      <w:r w:rsidR="00A01470">
        <w:t xml:space="preserve"> expansion</w:t>
      </w:r>
      <w:r w:rsidR="00AC4A72">
        <w:t>, t</w:t>
      </w:r>
      <w:r w:rsidR="00781CBD">
        <w:t xml:space="preserve">he 2016 ASEC marks the first time migration analysts </w:t>
      </w:r>
      <w:r w:rsidR="004E2314">
        <w:t>could</w:t>
      </w:r>
      <w:r w:rsidR="00781CBD">
        <w:t xml:space="preserve"> delve into </w:t>
      </w:r>
      <w:r w:rsidR="00B655D3">
        <w:t xml:space="preserve">the </w:t>
      </w:r>
      <w:r w:rsidR="00781CBD">
        <w:t>specifics of why people who selected other family, other job-related, and other housing reasons moved.</w:t>
      </w:r>
    </w:p>
    <w:p w:rsidR="005B1546" w:rsidRPr="00036386" w:rsidRDefault="008450E4" w:rsidP="006D49A2">
      <w:pPr>
        <w:spacing w:line="480" w:lineRule="auto"/>
        <w:ind w:firstLine="720"/>
      </w:pPr>
      <w:r w:rsidRPr="00036386">
        <w:t xml:space="preserve">According to results from the 2016 ASEC, there were a combined 2,129 </w:t>
      </w:r>
      <w:r w:rsidR="00EA7833" w:rsidRPr="00036386">
        <w:t xml:space="preserve">write-in </w:t>
      </w:r>
      <w:r w:rsidR="001B726D" w:rsidRPr="00036386">
        <w:t>reason for move</w:t>
      </w:r>
      <w:r w:rsidRPr="00036386">
        <w:t xml:space="preserve"> responses</w:t>
      </w:r>
      <w:r w:rsidR="00CE6A4C" w:rsidRPr="00036386">
        <w:t>,</w:t>
      </w:r>
      <w:r w:rsidR="00CE27CF" w:rsidRPr="00036386">
        <w:t xml:space="preserve"> which represented</w:t>
      </w:r>
      <w:r w:rsidR="00CE6A4C" w:rsidRPr="00036386">
        <w:t xml:space="preserve"> </w:t>
      </w:r>
      <w:r w:rsidR="00ED506B" w:rsidRPr="00036386">
        <w:t xml:space="preserve">30.1 percent of </w:t>
      </w:r>
      <w:r w:rsidR="002274D8" w:rsidRPr="00036386">
        <w:t>reason for move responses</w:t>
      </w:r>
      <w:r w:rsidR="00EA7833" w:rsidRPr="00036386">
        <w:t xml:space="preserve"> before coding,</w:t>
      </w:r>
      <w:r w:rsidR="00ED506B" w:rsidRPr="00036386">
        <w:t xml:space="preserve"> editing</w:t>
      </w:r>
      <w:r w:rsidR="00EA7833" w:rsidRPr="00036386">
        <w:t>, and weighting</w:t>
      </w:r>
      <w:r w:rsidR="001B726D" w:rsidRPr="00036386">
        <w:t>.</w:t>
      </w:r>
      <w:r w:rsidR="005916AA" w:rsidRPr="00036386">
        <w:rPr>
          <w:rStyle w:val="FootnoteReference"/>
        </w:rPr>
        <w:footnoteReference w:id="16"/>
      </w:r>
      <w:r w:rsidR="001B726D" w:rsidRPr="00036386">
        <w:t xml:space="preserve"> </w:t>
      </w:r>
      <w:r w:rsidR="009C0075" w:rsidRPr="00036386">
        <w:t xml:space="preserve"> </w:t>
      </w:r>
      <w:r w:rsidR="00B971FD" w:rsidRPr="00036386">
        <w:t>T</w:t>
      </w:r>
      <w:r w:rsidR="001B726D" w:rsidRPr="00036386">
        <w:t xml:space="preserve">he </w:t>
      </w:r>
      <w:r w:rsidR="008D30BE" w:rsidRPr="00036386">
        <w:t>distribution was 927 in other family, 72 in other job</w:t>
      </w:r>
      <w:r w:rsidR="00A812AF" w:rsidRPr="00036386">
        <w:t>-related</w:t>
      </w:r>
      <w:r w:rsidR="0054624B" w:rsidRPr="00036386">
        <w:t>,</w:t>
      </w:r>
      <w:r w:rsidR="001B726D" w:rsidRPr="00036386">
        <w:t xml:space="preserve"> </w:t>
      </w:r>
      <w:r w:rsidR="00D2264A" w:rsidRPr="00036386">
        <w:t>311 in other housing,</w:t>
      </w:r>
      <w:r w:rsidR="001B726D" w:rsidRPr="00036386">
        <w:t xml:space="preserve"> and</w:t>
      </w:r>
      <w:r w:rsidR="008D30BE" w:rsidRPr="00036386">
        <w:t xml:space="preserve"> 819 in other</w:t>
      </w:r>
      <w:r w:rsidR="001B726D" w:rsidRPr="00036386">
        <w:t>.</w:t>
      </w:r>
      <w:r w:rsidR="005F6205" w:rsidRPr="00036386">
        <w:rPr>
          <w:rStyle w:val="FootnoteReference"/>
        </w:rPr>
        <w:footnoteReference w:id="17"/>
      </w:r>
      <w:r w:rsidR="00055521" w:rsidRPr="00036386">
        <w:t xml:space="preserve"> </w:t>
      </w:r>
    </w:p>
    <w:p w:rsidR="008D1262" w:rsidRDefault="00055521" w:rsidP="00C45E2C">
      <w:pPr>
        <w:spacing w:line="480" w:lineRule="auto"/>
        <w:ind w:firstLine="720"/>
        <w:rPr>
          <w:b/>
        </w:rPr>
      </w:pPr>
      <w:r w:rsidRPr="00036386">
        <w:t>T</w:t>
      </w:r>
      <w:r w:rsidR="00F52466" w:rsidRPr="00036386">
        <w:t>hese numbers suggest that</w:t>
      </w:r>
      <w:r w:rsidR="0021543E" w:rsidRPr="00036386">
        <w:t xml:space="preserve"> other family reason</w:t>
      </w:r>
      <w:r w:rsidR="006C67E8" w:rsidRPr="00036386">
        <w:t>s</w:t>
      </w:r>
      <w:r w:rsidR="0021543E" w:rsidRPr="00036386">
        <w:t xml:space="preserve"> </w:t>
      </w:r>
      <w:r w:rsidR="004E4DB7" w:rsidRPr="00036386">
        <w:t xml:space="preserve">and other reasons </w:t>
      </w:r>
      <w:r w:rsidR="0021543E" w:rsidRPr="00036386">
        <w:t>might be the best starting point when con</w:t>
      </w:r>
      <w:r w:rsidR="00F52466" w:rsidRPr="00036386">
        <w:t xml:space="preserve">sidering adding </w:t>
      </w:r>
      <w:r w:rsidRPr="00036386">
        <w:t xml:space="preserve">individual </w:t>
      </w:r>
      <w:r w:rsidR="00C559BD" w:rsidRPr="00036386">
        <w:t>reasons to the list</w:t>
      </w:r>
      <w:r w:rsidR="005B1546" w:rsidRPr="00036386">
        <w:t xml:space="preserve">. </w:t>
      </w:r>
      <w:r w:rsidR="00F52466" w:rsidRPr="00036386">
        <w:t>T</w:t>
      </w:r>
      <w:r w:rsidR="00A7363E" w:rsidRPr="00036386">
        <w:t xml:space="preserve">o </w:t>
      </w:r>
      <w:r w:rsidR="003B74B7" w:rsidRPr="00036386">
        <w:t>better</w:t>
      </w:r>
      <w:r w:rsidR="00A7363E" w:rsidRPr="00036386">
        <w:t xml:space="preserve"> support this notion, </w:t>
      </w:r>
      <w:r w:rsidR="003513DA" w:rsidRPr="00036386">
        <w:t xml:space="preserve">it is prudent </w:t>
      </w:r>
      <w:r w:rsidR="00A7363E" w:rsidRPr="00036386">
        <w:t xml:space="preserve">to consider </w:t>
      </w:r>
      <w:r w:rsidR="0081412D" w:rsidRPr="00036386">
        <w:t>the</w:t>
      </w:r>
      <w:r w:rsidR="003B74B7" w:rsidRPr="00036386">
        <w:t xml:space="preserve"> reason for move distribution</w:t>
      </w:r>
      <w:r w:rsidR="0081412D" w:rsidRPr="00036386">
        <w:t xml:space="preserve"> </w:t>
      </w:r>
      <w:r w:rsidR="00B971FD" w:rsidRPr="00036386">
        <w:t>in percentage form before and after coding.</w:t>
      </w:r>
      <w:r w:rsidRPr="00036386">
        <w:t xml:space="preserve"> </w:t>
      </w:r>
      <w:r w:rsidR="00C6161D">
        <w:t xml:space="preserve">Results from </w:t>
      </w:r>
      <w:r w:rsidR="00762A56" w:rsidRPr="00036386">
        <w:rPr>
          <w:b/>
        </w:rPr>
        <w:t>Table 2</w:t>
      </w:r>
      <w:r w:rsidR="00762A56" w:rsidRPr="00036386">
        <w:t xml:space="preserve"> </w:t>
      </w:r>
      <w:r w:rsidR="007F1DE6">
        <w:t>demonstrate</w:t>
      </w:r>
      <w:r w:rsidR="00B971FD" w:rsidRPr="00036386">
        <w:t xml:space="preserve"> the </w:t>
      </w:r>
      <w:r w:rsidR="007F1DE6">
        <w:t>conclusion of</w:t>
      </w:r>
      <w:r w:rsidR="00B971FD" w:rsidRPr="00036386">
        <w:t xml:space="preserve"> the last paragraph, that other family reasons </w:t>
      </w:r>
      <w:r w:rsidR="004E4DB7" w:rsidRPr="00036386">
        <w:t xml:space="preserve">and other reasons </w:t>
      </w:r>
      <w:r w:rsidR="00B971FD" w:rsidRPr="00036386">
        <w:t>we</w:t>
      </w:r>
      <w:r w:rsidR="004E4DB7" w:rsidRPr="00036386">
        <w:t>re the most common</w:t>
      </w:r>
      <w:r w:rsidR="009C3AEB" w:rsidRPr="00036386">
        <w:t xml:space="preserve">, </w:t>
      </w:r>
      <w:r w:rsidR="004E4DB7" w:rsidRPr="00036386">
        <w:t xml:space="preserve">followed by </w:t>
      </w:r>
      <w:r w:rsidR="0036529B" w:rsidRPr="00036386">
        <w:t xml:space="preserve">other </w:t>
      </w:r>
      <w:r w:rsidR="009C3AEB" w:rsidRPr="00036386">
        <w:t>housing,</w:t>
      </w:r>
      <w:r w:rsidR="00B971FD" w:rsidRPr="00036386">
        <w:t xml:space="preserve"> and </w:t>
      </w:r>
      <w:r w:rsidR="0036529B" w:rsidRPr="00036386">
        <w:t xml:space="preserve">other </w:t>
      </w:r>
      <w:r w:rsidR="004A30B9" w:rsidRPr="00036386">
        <w:t xml:space="preserve">job-related. </w:t>
      </w:r>
      <w:r w:rsidR="00674DAF" w:rsidRPr="00036386">
        <w:t>These results</w:t>
      </w:r>
      <w:r w:rsidRPr="00036386">
        <w:t xml:space="preserve"> </w:t>
      </w:r>
      <w:r w:rsidR="00765589" w:rsidRPr="00036386">
        <w:t>support the notion</w:t>
      </w:r>
      <w:r w:rsidR="00291742" w:rsidRPr="00036386">
        <w:t xml:space="preserve"> that </w:t>
      </w:r>
      <w:r w:rsidR="006246D5" w:rsidRPr="00036386">
        <w:t xml:space="preserve">other </w:t>
      </w:r>
      <w:r w:rsidR="00291742" w:rsidRPr="00036386">
        <w:t xml:space="preserve">family would be the best candidate for adding reasons </w:t>
      </w:r>
      <w:r w:rsidR="00196BFF" w:rsidRPr="00036386">
        <w:t>because it contains the most responses that do not fit into any of the individual reasons</w:t>
      </w:r>
      <w:r w:rsidRPr="00036386">
        <w:t xml:space="preserve"> provided on the survey</w:t>
      </w:r>
      <w:r w:rsidR="00196BFF" w:rsidRPr="00036386">
        <w:t>.</w:t>
      </w:r>
      <w:r w:rsidR="008D1262" w:rsidRPr="00036386">
        <w:t xml:space="preserve"> With this in mind, we can better analyze the common write-in responses within each of the four </w:t>
      </w:r>
      <w:r w:rsidR="008757B6" w:rsidRPr="00036386">
        <w:t>write-in responses</w:t>
      </w:r>
      <w:r w:rsidR="008D1262" w:rsidRPr="00036386">
        <w:t>.</w:t>
      </w:r>
      <w:r w:rsidR="008D1262">
        <w:t xml:space="preserve"> </w:t>
      </w:r>
      <w:r w:rsidR="00196BFF">
        <w:t xml:space="preserve"> </w:t>
      </w:r>
      <w:r w:rsidR="007B7A9F">
        <w:t xml:space="preserve"> </w:t>
      </w:r>
      <w:r w:rsidR="00F52466">
        <w:t xml:space="preserve"> </w:t>
      </w:r>
    </w:p>
    <w:p w:rsidR="00F262EC" w:rsidRDefault="00F262EC" w:rsidP="00F262EC">
      <w:pPr>
        <w:spacing w:line="480" w:lineRule="auto"/>
        <w:rPr>
          <w:b/>
        </w:rPr>
      </w:pPr>
      <w:r>
        <w:rPr>
          <w:b/>
        </w:rPr>
        <w:t>Common write-in responses</w:t>
      </w:r>
    </w:p>
    <w:p w:rsidR="00F262EC" w:rsidRDefault="00F262EC" w:rsidP="00F262EC">
      <w:pPr>
        <w:spacing w:line="480" w:lineRule="auto"/>
        <w:ind w:firstLine="720"/>
      </w:pPr>
      <w:r w:rsidRPr="00C04D36">
        <w:t xml:space="preserve">For the first time ever, </w:t>
      </w:r>
      <w:r w:rsidR="00FF17AA">
        <w:t>analysts</w:t>
      </w:r>
      <w:r>
        <w:t xml:space="preserve"> were able to see the specific reason of every mover </w:t>
      </w:r>
      <w:r w:rsidR="00FF17AA">
        <w:t xml:space="preserve">that selected other family, other job-related, other housing, and other reason. </w:t>
      </w:r>
      <w:r>
        <w:t>This information was used to create a list of common write-in responses for 2016</w:t>
      </w:r>
      <w:r w:rsidR="004670FC">
        <w:t xml:space="preserve">, displayed in </w:t>
      </w:r>
      <w:r w:rsidR="004670FC" w:rsidRPr="004670FC">
        <w:rPr>
          <w:b/>
        </w:rPr>
        <w:t>Table 3</w:t>
      </w:r>
      <w:r>
        <w:t>.</w:t>
      </w:r>
      <w:r>
        <w:rPr>
          <w:rStyle w:val="FootnoteReference"/>
        </w:rPr>
        <w:footnoteReference w:id="18"/>
      </w:r>
      <w:r>
        <w:t xml:space="preserve"> </w:t>
      </w:r>
    </w:p>
    <w:p w:rsidR="00F262EC" w:rsidRDefault="00F262EC" w:rsidP="00F262EC">
      <w:pPr>
        <w:spacing w:line="480" w:lineRule="auto"/>
        <w:ind w:firstLine="720"/>
      </w:pPr>
      <w:r>
        <w:t xml:space="preserve">For other family, a few of the common </w:t>
      </w:r>
      <w:r w:rsidR="00A3379E">
        <w:t>write-in responses</w:t>
      </w:r>
      <w:r>
        <w:t xml:space="preserve"> included adding a new family member (pregnant/had a baby/adoption), moved with family member(s), and to assist or take care of family members.</w:t>
      </w:r>
      <w:r>
        <w:rPr>
          <w:rStyle w:val="FootnoteReference"/>
        </w:rPr>
        <w:footnoteReference w:id="19"/>
      </w:r>
      <w:r>
        <w:t xml:space="preserve"> The </w:t>
      </w:r>
      <w:r w:rsidR="0019564A">
        <w:t>“</w:t>
      </w:r>
      <w:r>
        <w:t>adding a new family member</w:t>
      </w:r>
      <w:r w:rsidR="0019564A">
        <w:t>”</w:t>
      </w:r>
      <w:r>
        <w:t xml:space="preserve"> reason may cause difficulty because it could easily be intertwined with “wanted new or better home/apartment”. The decision of </w:t>
      </w:r>
      <w:r w:rsidR="00F04332">
        <w:t xml:space="preserve">which </w:t>
      </w:r>
      <w:r w:rsidR="00827752">
        <w:t xml:space="preserve">“other” </w:t>
      </w:r>
      <w:r w:rsidR="00F04332">
        <w:t xml:space="preserve">reason to choose </w:t>
      </w:r>
      <w:r w:rsidR="00227EAD">
        <w:t>wa</w:t>
      </w:r>
      <w:r>
        <w:t xml:space="preserve">s initially decided by the respondent. If they </w:t>
      </w:r>
      <w:r w:rsidR="00827752">
        <w:t>provided a response to</w:t>
      </w:r>
      <w:r>
        <w:t xml:space="preserve"> one of the write-in options, the reason will </w:t>
      </w:r>
      <w:r w:rsidR="0019564A">
        <w:t xml:space="preserve">likely </w:t>
      </w:r>
      <w:r>
        <w:t>be coded to other family because it is more feasible that the new family member led to wanting a new or better ho</w:t>
      </w:r>
      <w:r w:rsidR="00E17DA1">
        <w:t xml:space="preserve">me/apartment than the opposite. </w:t>
      </w:r>
      <w:r w:rsidR="00A670DF">
        <w:t>A</w:t>
      </w:r>
      <w:r>
        <w:t>ssisting or taking care of family member</w:t>
      </w:r>
      <w:r w:rsidR="00E908BC">
        <w:t>s</w:t>
      </w:r>
      <w:r>
        <w:t xml:space="preserve"> may become more important in the near future as the Baby Boom generation ages and becomes more dependent upon family members for assistance or care</w:t>
      </w:r>
      <w:r w:rsidR="0046778C">
        <w:t xml:space="preserve"> with daily living activit</w:t>
      </w:r>
      <w:r w:rsidR="004F1F99">
        <w:t>i</w:t>
      </w:r>
      <w:r w:rsidR="0046778C">
        <w:t>es</w:t>
      </w:r>
      <w:r>
        <w:t xml:space="preserve">. </w:t>
      </w:r>
    </w:p>
    <w:p w:rsidR="00F262EC" w:rsidRDefault="00F262EC" w:rsidP="00F262EC">
      <w:pPr>
        <w:spacing w:line="480" w:lineRule="auto"/>
      </w:pPr>
      <w:r>
        <w:tab/>
        <w:t>Other job</w:t>
      </w:r>
      <w:r w:rsidR="00E46688">
        <w:t>-related</w:t>
      </w:r>
      <w:r>
        <w:t xml:space="preserve"> was the smallest of the four write-in categories with 72.</w:t>
      </w:r>
      <w:r>
        <w:rPr>
          <w:rStyle w:val="FootnoteReference"/>
        </w:rPr>
        <w:footnoteReference w:id="20"/>
      </w:r>
      <w:r w:rsidR="00A670DF">
        <w:t xml:space="preserve"> I</w:t>
      </w:r>
      <w:r>
        <w:t xml:space="preserve">dentifying </w:t>
      </w:r>
      <w:r w:rsidR="00A670DF">
        <w:t xml:space="preserve">common </w:t>
      </w:r>
      <w:r>
        <w:t xml:space="preserve">themes for </w:t>
      </w:r>
      <w:r w:rsidR="00827752">
        <w:t xml:space="preserve">this category in </w:t>
      </w:r>
      <w:r w:rsidR="0046778C">
        <w:rPr>
          <w:b/>
        </w:rPr>
        <w:t>Table 3</w:t>
      </w:r>
      <w:r>
        <w:t xml:space="preserve"> was difficult because there were so few cases. In some instances, the respondent simply answered “job</w:t>
      </w:r>
      <w:r w:rsidR="00827752">
        <w:t>.”</w:t>
      </w:r>
      <w:r>
        <w:t xml:space="preserve"> They did not specify if they moved because they had a new job, transferred from an old job, or lost their job and moved to look for work. For whatever reason they did not select these options when they were offered during the interview, so assigning cases based on such little detail is difficult to justify. </w:t>
      </w:r>
      <w:r w:rsidR="00ED1B68">
        <w:t>Some respondents who</w:t>
      </w:r>
      <w:r>
        <w:t xml:space="preserve"> selected the </w:t>
      </w:r>
      <w:r w:rsidR="00CE376F">
        <w:t xml:space="preserve">other </w:t>
      </w:r>
      <w:r>
        <w:t xml:space="preserve">job write-in gave enough detail to be </w:t>
      </w:r>
      <w:r w:rsidR="00ED1B68">
        <w:t>coded</w:t>
      </w:r>
      <w:r>
        <w:t xml:space="preserve"> into one of the more specific job-related rea</w:t>
      </w:r>
      <w:r w:rsidR="00A670DF">
        <w:t>son</w:t>
      </w:r>
      <w:r w:rsidR="00DB2E94">
        <w:t>s</w:t>
      </w:r>
      <w:r w:rsidR="00A670DF">
        <w:t xml:space="preserve">. One such example is </w:t>
      </w:r>
      <w:r w:rsidR="00ED1B68">
        <w:t>coding</w:t>
      </w:r>
      <w:r>
        <w:t xml:space="preserve"> “change in duty station” to “new job or job transfer.”</w:t>
      </w:r>
    </w:p>
    <w:p w:rsidR="00F262EC" w:rsidRDefault="00F262EC" w:rsidP="00F262EC">
      <w:pPr>
        <w:spacing w:line="480" w:lineRule="auto"/>
      </w:pPr>
      <w:r>
        <w:tab/>
      </w:r>
      <w:r w:rsidR="00860F31">
        <w:t>One of the</w:t>
      </w:r>
      <w:r w:rsidR="001028C5">
        <w:t xml:space="preserve"> common write-ins for other housing was lease ended. The </w:t>
      </w:r>
      <w:r w:rsidR="00981B2A">
        <w:t xml:space="preserve">lease ended </w:t>
      </w:r>
      <w:r w:rsidR="001028C5">
        <w:t>write-ins indicate</w:t>
      </w:r>
      <w:r w:rsidR="00CE376F">
        <w:t>d</w:t>
      </w:r>
      <w:r w:rsidR="001028C5">
        <w:t xml:space="preserve"> that s</w:t>
      </w:r>
      <w:r>
        <w:t xml:space="preserve">ometimes the respondent </w:t>
      </w:r>
      <w:r w:rsidR="001028C5">
        <w:t xml:space="preserve">actively </w:t>
      </w:r>
      <w:r>
        <w:t xml:space="preserve">chose not to renew their lease while others were not given the option. </w:t>
      </w:r>
      <w:r w:rsidR="00DC6B3E">
        <w:t xml:space="preserve">Downsizing/wanted a smaller home or apartment </w:t>
      </w:r>
      <w:r w:rsidR="002965CE">
        <w:t>was anoth</w:t>
      </w:r>
      <w:r w:rsidR="0016608E">
        <w:t xml:space="preserve">er common other housing reason. </w:t>
      </w:r>
      <w:r w:rsidR="00AA51BB">
        <w:t>For some, t</w:t>
      </w:r>
      <w:r w:rsidR="0016608E">
        <w:t xml:space="preserve">his </w:t>
      </w:r>
      <w:r w:rsidR="00C930FE">
        <w:t>could</w:t>
      </w:r>
      <w:r w:rsidR="0016608E">
        <w:t xml:space="preserve"> </w:t>
      </w:r>
      <w:r w:rsidR="002842C0">
        <w:t xml:space="preserve">be the result </w:t>
      </w:r>
      <w:r w:rsidR="006A1AAD">
        <w:t>of</w:t>
      </w:r>
      <w:r w:rsidR="0016608E">
        <w:t xml:space="preserve"> an aging population or having people move out of the household. </w:t>
      </w:r>
      <w:r w:rsidR="003A10CC">
        <w:t xml:space="preserve">In both of these situations, the amount of space available in the house or apartment might be more than </w:t>
      </w:r>
      <w:r w:rsidR="00DA3651">
        <w:t xml:space="preserve">needed or </w:t>
      </w:r>
      <w:r w:rsidR="003A10CC">
        <w:t xml:space="preserve">desired. </w:t>
      </w:r>
      <w:r w:rsidR="00DA3651">
        <w:t>In order to remedy th</w:t>
      </w:r>
      <w:r w:rsidR="00CE376F">
        <w:t>e situation, the person(s) moved</w:t>
      </w:r>
      <w:r w:rsidR="00DA3651">
        <w:t xml:space="preserve"> to something better suited to their housing preference.</w:t>
      </w:r>
      <w:r w:rsidR="0016608E">
        <w:t xml:space="preserve"> </w:t>
      </w:r>
      <w:r w:rsidR="007E71B0">
        <w:t>An obvious</w:t>
      </w:r>
      <w:r w:rsidR="00CE376F">
        <w:t xml:space="preserve"> and </w:t>
      </w:r>
      <w:r w:rsidR="00FE6899">
        <w:t>straightforward</w:t>
      </w:r>
      <w:r w:rsidR="00CE376F">
        <w:t xml:space="preserve"> </w:t>
      </w:r>
      <w:r w:rsidR="0021294C">
        <w:t xml:space="preserve">housing </w:t>
      </w:r>
      <w:r w:rsidR="00CE376F">
        <w:t xml:space="preserve">reason </w:t>
      </w:r>
      <w:r w:rsidR="00734CC4">
        <w:t xml:space="preserve">for move </w:t>
      </w:r>
      <w:r w:rsidR="00CE376F">
        <w:t xml:space="preserve">was the sale of </w:t>
      </w:r>
      <w:r w:rsidR="00224E67">
        <w:t xml:space="preserve">the previous home or apartment. </w:t>
      </w:r>
      <w:r w:rsidR="00734CC4">
        <w:t>In these situations, the person sold their home</w:t>
      </w:r>
      <w:r w:rsidR="007E71B0">
        <w:t xml:space="preserve"> </w:t>
      </w:r>
      <w:r w:rsidR="00734CC4">
        <w:t xml:space="preserve">and </w:t>
      </w:r>
      <w:r w:rsidR="004A29AF">
        <w:t>wanted</w:t>
      </w:r>
      <w:r w:rsidR="00767D48">
        <w:t>,</w:t>
      </w:r>
      <w:r w:rsidR="004A29AF">
        <w:t xml:space="preserve"> or </w:t>
      </w:r>
      <w:r w:rsidR="00734CC4">
        <w:t>needed</w:t>
      </w:r>
      <w:r w:rsidR="00767D48">
        <w:t>,</w:t>
      </w:r>
      <w:r w:rsidR="00734CC4">
        <w:t xml:space="preserve"> to move elsewhere. </w:t>
      </w:r>
    </w:p>
    <w:p w:rsidR="00C50634" w:rsidRDefault="00C50634" w:rsidP="00F262EC">
      <w:pPr>
        <w:spacing w:line="480" w:lineRule="auto"/>
      </w:pPr>
      <w:r>
        <w:tab/>
      </w:r>
      <w:r w:rsidR="00E613EC">
        <w:t>A</w:t>
      </w:r>
      <w:r w:rsidR="00D900F3">
        <w:t xml:space="preserve"> common write-in response for the other reason category was to live with</w:t>
      </w:r>
      <w:r w:rsidR="00292EDF">
        <w:t xml:space="preserve"> a nonfamily member</w:t>
      </w:r>
      <w:r w:rsidR="00D900F3">
        <w:t>.</w:t>
      </w:r>
      <w:r w:rsidR="00F149DF">
        <w:rPr>
          <w:rStyle w:val="FootnoteReference"/>
        </w:rPr>
        <w:footnoteReference w:id="21"/>
      </w:r>
      <w:r w:rsidR="00D900F3">
        <w:t xml:space="preserve"> </w:t>
      </w:r>
      <w:r w:rsidR="00E35C0A">
        <w:t xml:space="preserve">In some </w:t>
      </w:r>
      <w:r w:rsidR="009905A8">
        <w:t>cases,</w:t>
      </w:r>
      <w:r w:rsidR="00E35C0A">
        <w:t xml:space="preserve"> this was a roommate or the name of a specific person</w:t>
      </w:r>
      <w:r w:rsidR="004620C1">
        <w:t xml:space="preserve"> (e.g.</w:t>
      </w:r>
      <w:r w:rsidR="00E127B1">
        <w:t>,</w:t>
      </w:r>
      <w:r w:rsidR="004620C1">
        <w:t xml:space="preserve"> Bob)</w:t>
      </w:r>
      <w:r w:rsidR="00E35C0A">
        <w:t>. In others, they specified</w:t>
      </w:r>
      <w:r w:rsidR="00292EDF">
        <w:t xml:space="preserve"> the relationship rather than the person’s name (e.g.</w:t>
      </w:r>
      <w:r w:rsidR="00D85F2A">
        <w:t>,</w:t>
      </w:r>
      <w:r w:rsidR="00E35C0A">
        <w:t xml:space="preserve"> boyfriend, girlfriend, fiancé, </w:t>
      </w:r>
      <w:r w:rsidR="00292EDF">
        <w:t>etc.)</w:t>
      </w:r>
      <w:r w:rsidR="00433B98">
        <w:t xml:space="preserve">.  School was another </w:t>
      </w:r>
      <w:r w:rsidR="00761A09">
        <w:t>write-in response</w:t>
      </w:r>
      <w:r w:rsidR="00433B98">
        <w:t xml:space="preserve"> tha</w:t>
      </w:r>
      <w:r w:rsidR="00761A09">
        <w:t xml:space="preserve">t appeared quite often. With more information, a response of “school for children” could be placed in other family, “better schools” could arguably </w:t>
      </w:r>
      <w:r w:rsidR="00043146">
        <w:t xml:space="preserve">be </w:t>
      </w:r>
      <w:r w:rsidR="00761A09">
        <w:t xml:space="preserve">placed in better neighborhood/less crime, and </w:t>
      </w:r>
      <w:r w:rsidR="002C05B4">
        <w:t>“</w:t>
      </w:r>
      <w:r w:rsidR="00761A09">
        <w:t xml:space="preserve">attend </w:t>
      </w:r>
      <w:r w:rsidR="00161F86">
        <w:t>(university</w:t>
      </w:r>
      <w:r w:rsidR="008C068B">
        <w:t>’s</w:t>
      </w:r>
      <w:r w:rsidR="00161F86">
        <w:t xml:space="preserve"> name)</w:t>
      </w:r>
      <w:r w:rsidR="002C05B4">
        <w:t>”</w:t>
      </w:r>
      <w:r w:rsidR="00161F86">
        <w:t xml:space="preserve"> placed in attend/leave college. </w:t>
      </w:r>
      <w:r w:rsidR="00761A09">
        <w:t xml:space="preserve"> </w:t>
      </w:r>
      <w:r w:rsidR="008C068B">
        <w:t xml:space="preserve">Without any additional detail, school is too vague and remains in the other category. </w:t>
      </w:r>
      <w:r w:rsidR="0008099F">
        <w:t xml:space="preserve">Some movers said </w:t>
      </w:r>
      <w:r w:rsidR="00E97078">
        <w:t>financial constraints</w:t>
      </w:r>
      <w:r w:rsidR="004A29AF">
        <w:t xml:space="preserve"> were their main reason for moving</w:t>
      </w:r>
      <w:r w:rsidR="007024FF">
        <w:t xml:space="preserve">. </w:t>
      </w:r>
      <w:r w:rsidR="00DF75DB">
        <w:t>What sort of financial constraints caused the</w:t>
      </w:r>
      <w:r w:rsidR="00C07F03">
        <w:t>se</w:t>
      </w:r>
      <w:r w:rsidR="00DF75DB">
        <w:t xml:space="preserve"> move</w:t>
      </w:r>
      <w:r w:rsidR="00C07F03">
        <w:t>s was unclear</w:t>
      </w:r>
      <w:r w:rsidR="004C7B55">
        <w:t xml:space="preserve">, which is why these cases remained in </w:t>
      </w:r>
      <w:r w:rsidR="006A4280">
        <w:t xml:space="preserve">the </w:t>
      </w:r>
      <w:r w:rsidR="004C7B55">
        <w:t>other reason</w:t>
      </w:r>
      <w:r w:rsidR="00E613EC">
        <w:t xml:space="preserve"> category</w:t>
      </w:r>
      <w:r w:rsidR="00C07F03">
        <w:t xml:space="preserve">. </w:t>
      </w:r>
      <w:r w:rsidR="00DF75DB">
        <w:t xml:space="preserve"> </w:t>
      </w:r>
      <w:r w:rsidR="0008099F">
        <w:t xml:space="preserve"> </w:t>
      </w:r>
      <w:r w:rsidR="00D900F3">
        <w:t xml:space="preserve"> </w:t>
      </w:r>
    </w:p>
    <w:p w:rsidR="00937E54" w:rsidRDefault="00DF75DB" w:rsidP="00E62E55">
      <w:pPr>
        <w:spacing w:line="480" w:lineRule="auto"/>
        <w:ind w:firstLine="720"/>
      </w:pPr>
      <w:r>
        <w:t>Any of the</w:t>
      </w:r>
      <w:r w:rsidR="000C1080">
        <w:t xml:space="preserve"> common write-in</w:t>
      </w:r>
      <w:r w:rsidR="00F262EC">
        <w:t xml:space="preserve"> reasons </w:t>
      </w:r>
      <w:r>
        <w:t xml:space="preserve">mentioned in this section </w:t>
      </w:r>
      <w:r w:rsidR="00F262EC">
        <w:t>could be potential candidates for inclusion i</w:t>
      </w:r>
      <w:r w:rsidR="00084B46">
        <w:t>n future reason for move lists. Before any changes are made to the list of reasons, additional years of data and r</w:t>
      </w:r>
      <w:r w:rsidR="00B5649D">
        <w:t>esearch w</w:t>
      </w:r>
      <w:r w:rsidR="00E62E55">
        <w:t xml:space="preserve">ill be needed. </w:t>
      </w:r>
      <w:r w:rsidR="00B5649D">
        <w:t>One piece of research</w:t>
      </w:r>
      <w:r w:rsidR="00084B46">
        <w:t xml:space="preserve"> that can be </w:t>
      </w:r>
      <w:r w:rsidR="00E62E55">
        <w:t>accomplished</w:t>
      </w:r>
      <w:r w:rsidR="00084B46">
        <w:t xml:space="preserve"> </w:t>
      </w:r>
      <w:r w:rsidR="00B5649D">
        <w:t xml:space="preserve">now is to determine which reasons were not frequently selected. Based on an analysis of reason for move data from the last decade, shown in </w:t>
      </w:r>
      <w:r w:rsidR="00B5649D" w:rsidRPr="00355C03">
        <w:rPr>
          <w:b/>
        </w:rPr>
        <w:t>Table 4</w:t>
      </w:r>
      <w:r w:rsidR="00B5649D">
        <w:t>, the reasons of retired, change in climate, health reasons, and natural disaster all fall into this category.</w:t>
      </w:r>
      <w:r w:rsidR="00B5649D">
        <w:rPr>
          <w:rStyle w:val="FootnoteReference"/>
        </w:rPr>
        <w:footnoteReference w:id="22"/>
      </w:r>
      <w:r w:rsidR="00B5649D">
        <w:t xml:space="preserve"> </w:t>
      </w:r>
    </w:p>
    <w:p w:rsidR="00937E54" w:rsidRDefault="00937E54" w:rsidP="00937E54">
      <w:pPr>
        <w:spacing w:line="480" w:lineRule="auto"/>
      </w:pPr>
      <w:r w:rsidRPr="002A1E4D">
        <w:rPr>
          <w:b/>
        </w:rPr>
        <w:t xml:space="preserve">Comparison of </w:t>
      </w:r>
      <w:r>
        <w:rPr>
          <w:b/>
        </w:rPr>
        <w:t xml:space="preserve">the </w:t>
      </w:r>
      <w:r w:rsidRPr="00D17FCE">
        <w:rPr>
          <w:b/>
        </w:rPr>
        <w:t xml:space="preserve">2015 and 2016 </w:t>
      </w:r>
      <w:r>
        <w:rPr>
          <w:b/>
        </w:rPr>
        <w:t>ASEC r</w:t>
      </w:r>
      <w:r w:rsidRPr="002A1E4D">
        <w:rPr>
          <w:b/>
        </w:rPr>
        <w:t>eason for move write-in results</w:t>
      </w:r>
      <w:r>
        <w:t xml:space="preserve"> </w:t>
      </w:r>
    </w:p>
    <w:p w:rsidR="00444468" w:rsidRDefault="00937E54" w:rsidP="00444468">
      <w:pPr>
        <w:spacing w:line="480" w:lineRule="auto"/>
        <w:ind w:firstLine="720"/>
        <w:rPr>
          <w:b/>
        </w:rPr>
      </w:pPr>
      <w:r>
        <w:t>How do the 2016 ASEC results compare with those from 2015? We can only compare write-ins for “other reason” because it was the only reason where respondents were asked to specify in 2015. There were 201 write-ins for 2015, about one-fourth of the number reported in 2016 (819). One possible explanation for this difference could be changes made to the training guides. In 2016, field representatives were instructed to use the other write-in field if they were unsure about how a reason should be coded. The guide a</w:t>
      </w:r>
      <w:r w:rsidR="002316AC">
        <w:t>lso reminded field representatives</w:t>
      </w:r>
      <w:r>
        <w:t xml:space="preserve"> that </w:t>
      </w:r>
      <w:r w:rsidR="00C12A7C">
        <w:t>boyfriends, girlfriends</w:t>
      </w:r>
      <w:r>
        <w:t xml:space="preserve">, </w:t>
      </w:r>
      <w:r w:rsidR="00FF2EA1">
        <w:t xml:space="preserve">unmarried partners, </w:t>
      </w:r>
      <w:r>
        <w:t xml:space="preserve">fiancés, </w:t>
      </w:r>
      <w:r w:rsidR="00052752">
        <w:t xml:space="preserve">and foster children </w:t>
      </w:r>
      <w:r>
        <w:t>are not considered family members</w:t>
      </w:r>
      <w:r w:rsidR="00AC5BCC">
        <w:t xml:space="preserve"> for the reason for move question</w:t>
      </w:r>
      <w:r>
        <w:t xml:space="preserve">, and therefore should not be coded in any of the family </w:t>
      </w:r>
      <w:r w:rsidR="002316AC">
        <w:t>related reasons. This would result in some</w:t>
      </w:r>
      <w:r>
        <w:t xml:space="preserve"> cases</w:t>
      </w:r>
      <w:r w:rsidR="002316AC">
        <w:t xml:space="preserve"> moving</w:t>
      </w:r>
      <w:r>
        <w:t xml:space="preserve"> from other family to other reason. Another possibility is that field representatives, respondents, or both, were avoiding the write-in field in 2015. By expanding write-ins to other family, other </w:t>
      </w:r>
      <w:r w:rsidR="00CA01AF">
        <w:t>job-related</w:t>
      </w:r>
      <w:r w:rsidR="00743783">
        <w:t>,</w:t>
      </w:r>
      <w:r>
        <w:t xml:space="preserve"> and other housing, the ability to avoid write-ins became more difficult. </w:t>
      </w:r>
    </w:p>
    <w:p w:rsidR="00D17FCE" w:rsidRPr="00444468" w:rsidRDefault="00D17FCE" w:rsidP="00444468">
      <w:pPr>
        <w:spacing w:line="480" w:lineRule="auto"/>
        <w:rPr>
          <w:b/>
        </w:rPr>
      </w:pPr>
      <w:r>
        <w:rPr>
          <w:b/>
        </w:rPr>
        <w:t xml:space="preserve">How did coding change the </w:t>
      </w:r>
      <w:r w:rsidR="00444468">
        <w:rPr>
          <w:b/>
        </w:rPr>
        <w:t xml:space="preserve">reason for move </w:t>
      </w:r>
      <w:r>
        <w:rPr>
          <w:b/>
        </w:rPr>
        <w:t>distribution?</w:t>
      </w:r>
    </w:p>
    <w:p w:rsidR="00A60121" w:rsidRDefault="00A60121" w:rsidP="001C0E48">
      <w:pPr>
        <w:spacing w:line="480" w:lineRule="auto"/>
        <w:ind w:firstLine="720"/>
        <w:rPr>
          <w:b/>
        </w:rPr>
      </w:pPr>
      <w:r w:rsidRPr="00A60121">
        <w:t>Another exercise that has never been attempted</w:t>
      </w:r>
      <w:r>
        <w:rPr>
          <w:b/>
        </w:rPr>
        <w:t xml:space="preserve"> </w:t>
      </w:r>
      <w:r w:rsidRPr="00A60121">
        <w:t>is to examin</w:t>
      </w:r>
      <w:r w:rsidR="00186B80">
        <w:t>e how coding</w:t>
      </w:r>
      <w:r w:rsidRPr="00A60121">
        <w:t xml:space="preserve"> alter</w:t>
      </w:r>
      <w:r w:rsidR="00186B80">
        <w:t>ed</w:t>
      </w:r>
      <w:r w:rsidRPr="00A60121">
        <w:t xml:space="preserve"> the reason for move distribution.</w:t>
      </w:r>
      <w:r w:rsidR="00E81940">
        <w:t xml:space="preserve"> Prior to the </w:t>
      </w:r>
      <w:r w:rsidR="009E2267">
        <w:t>expansion,</w:t>
      </w:r>
      <w:r>
        <w:t xml:space="preserve"> </w:t>
      </w:r>
      <w:r w:rsidR="00E81940">
        <w:t xml:space="preserve">this was less important because the only reason likely to experience considerable change was </w:t>
      </w:r>
      <w:r w:rsidR="00572DA6">
        <w:t xml:space="preserve">the </w:t>
      </w:r>
      <w:r w:rsidR="00E81940">
        <w:t>other reason</w:t>
      </w:r>
      <w:r w:rsidR="00572DA6">
        <w:t xml:space="preserve"> write-in</w:t>
      </w:r>
      <w:r w:rsidR="00E81940">
        <w:t>. Now that</w:t>
      </w:r>
      <w:r w:rsidR="003A6581">
        <w:t xml:space="preserve"> </w:t>
      </w:r>
      <w:r w:rsidR="00CA01AF">
        <w:t>four</w:t>
      </w:r>
      <w:r w:rsidR="00572DA6">
        <w:t xml:space="preserve"> reasons include write-ins and </w:t>
      </w:r>
      <w:r w:rsidR="00E81940">
        <w:t xml:space="preserve">the number of write-ins has </w:t>
      </w:r>
      <w:r w:rsidR="00E27C06">
        <w:t>increased consi</w:t>
      </w:r>
      <w:r w:rsidR="00FC2A09">
        <w:t>d</w:t>
      </w:r>
      <w:r w:rsidR="00E27C06">
        <w:t>erably</w:t>
      </w:r>
      <w:r w:rsidR="00E81940">
        <w:t xml:space="preserve">, the possibility to alter the reason for move distribution is greater. </w:t>
      </w:r>
    </w:p>
    <w:p w:rsidR="001742E1" w:rsidRPr="00C80D50" w:rsidRDefault="00F47478" w:rsidP="001C0E48">
      <w:pPr>
        <w:spacing w:line="480" w:lineRule="auto"/>
        <w:ind w:firstLine="720"/>
      </w:pPr>
      <w:r>
        <w:rPr>
          <w:b/>
        </w:rPr>
        <w:t>Table 5</w:t>
      </w:r>
      <w:r w:rsidR="00176E8F">
        <w:t xml:space="preserve"> contains the percent in each reason before coding, after coding, and the percent changed by coding.</w:t>
      </w:r>
      <w:r w:rsidR="00DF3A06">
        <w:rPr>
          <w:rStyle w:val="FootnoteReference"/>
        </w:rPr>
        <w:footnoteReference w:id="23"/>
      </w:r>
      <w:r w:rsidR="00BB7589">
        <w:t xml:space="preserve"> </w:t>
      </w:r>
      <w:r w:rsidR="00E127F0">
        <w:t xml:space="preserve">According to </w:t>
      </w:r>
      <w:r>
        <w:rPr>
          <w:b/>
        </w:rPr>
        <w:t>Table 5</w:t>
      </w:r>
      <w:r w:rsidR="00E127F0">
        <w:t xml:space="preserve">, </w:t>
      </w:r>
      <w:r w:rsidR="00EF6B68">
        <w:t>30.1</w:t>
      </w:r>
      <w:r w:rsidR="00DF22AC">
        <w:t xml:space="preserve"> percent of cases were in other family, other job-related, other housing, </w:t>
      </w:r>
      <w:r w:rsidR="00A46CDA">
        <w:t>or</w:t>
      </w:r>
      <w:r w:rsidR="00DF22AC">
        <w:t xml:space="preserve"> other before coding. After coding, </w:t>
      </w:r>
      <w:r w:rsidR="003A6581">
        <w:t>these four reasons accounted for 25.9 percent.</w:t>
      </w:r>
      <w:r w:rsidR="001259E2">
        <w:rPr>
          <w:rStyle w:val="FootnoteReference"/>
        </w:rPr>
        <w:footnoteReference w:id="24"/>
      </w:r>
      <w:r w:rsidR="003A6581">
        <w:t xml:space="preserve"> As demonstrated in the percent changed by coding column, other job-related and other reasons were responsible for </w:t>
      </w:r>
      <w:r w:rsidR="00E2535B">
        <w:t>the majority of this decline. The ”other” reason</w:t>
      </w:r>
      <w:r w:rsidR="00C71AD3">
        <w:t xml:space="preserve"> decreased from 11.6 percent before coding to 7.2 percent after. </w:t>
      </w:r>
      <w:r w:rsidR="001742E1" w:rsidRPr="00C80D50">
        <w:t xml:space="preserve"> </w:t>
      </w:r>
      <w:r w:rsidR="000209EC">
        <w:t>The other-job related category showed a huge percent change due to coding</w:t>
      </w:r>
      <w:r w:rsidR="00462E1A">
        <w:t xml:space="preserve"> (-132.3 percent)</w:t>
      </w:r>
      <w:r w:rsidR="000209EC">
        <w:t>, but it started o</w:t>
      </w:r>
      <w:r w:rsidR="004F391C">
        <w:t>ut with a small base (72 cases</w:t>
      </w:r>
      <w:r w:rsidR="00B62DE2">
        <w:t xml:space="preserve">). </w:t>
      </w:r>
      <w:r w:rsidR="002C5A97">
        <w:t xml:space="preserve">The remaining seventeen reasons </w:t>
      </w:r>
      <w:r w:rsidR="00816E15">
        <w:t>changed by less than 20</w:t>
      </w:r>
      <w:r w:rsidR="000E7938">
        <w:t xml:space="preserve"> percent, suggesting </w:t>
      </w:r>
      <w:r w:rsidR="00184C1A">
        <w:t>that</w:t>
      </w:r>
      <w:r w:rsidR="002C6212">
        <w:t xml:space="preserve"> </w:t>
      </w:r>
      <w:r w:rsidR="00CB0D9F">
        <w:t xml:space="preserve">for most reasons, </w:t>
      </w:r>
      <w:r w:rsidR="002C6212">
        <w:t>coding does not alter the distribution</w:t>
      </w:r>
      <w:r w:rsidR="00CB0D9F">
        <w:t xml:space="preserve"> </w:t>
      </w:r>
      <w:r w:rsidR="00CF058E">
        <w:t xml:space="preserve">a great deal. </w:t>
      </w:r>
    </w:p>
    <w:p w:rsidR="002E5B3D" w:rsidRDefault="002E5B3D" w:rsidP="00D17FCE">
      <w:pPr>
        <w:spacing w:line="480" w:lineRule="auto"/>
        <w:rPr>
          <w:b/>
        </w:rPr>
      </w:pPr>
    </w:p>
    <w:p w:rsidR="002E5B3D" w:rsidRDefault="002E5B3D" w:rsidP="00D17FCE">
      <w:pPr>
        <w:spacing w:line="480" w:lineRule="auto"/>
        <w:rPr>
          <w:b/>
        </w:rPr>
      </w:pPr>
    </w:p>
    <w:p w:rsidR="002E5B3D" w:rsidRDefault="002E5B3D" w:rsidP="00D17FCE">
      <w:pPr>
        <w:spacing w:line="480" w:lineRule="auto"/>
        <w:rPr>
          <w:b/>
        </w:rPr>
      </w:pPr>
    </w:p>
    <w:p w:rsidR="00D17FCE" w:rsidRDefault="00D17FCE" w:rsidP="00D17FCE">
      <w:pPr>
        <w:spacing w:line="480" w:lineRule="auto"/>
        <w:rPr>
          <w:b/>
        </w:rPr>
      </w:pPr>
      <w:r>
        <w:rPr>
          <w:b/>
        </w:rPr>
        <w:t>How did edits</w:t>
      </w:r>
      <w:r w:rsidR="00AE5D02">
        <w:rPr>
          <w:b/>
        </w:rPr>
        <w:t xml:space="preserve"> and weighting</w:t>
      </w:r>
      <w:r>
        <w:rPr>
          <w:b/>
        </w:rPr>
        <w:t xml:space="preserve"> change the </w:t>
      </w:r>
      <w:r w:rsidR="00235647">
        <w:rPr>
          <w:b/>
        </w:rPr>
        <w:t xml:space="preserve">reason for move </w:t>
      </w:r>
      <w:r>
        <w:rPr>
          <w:b/>
        </w:rPr>
        <w:t>distribution?</w:t>
      </w:r>
    </w:p>
    <w:p w:rsidR="00D17FCE" w:rsidRDefault="00C76647" w:rsidP="00D17FCE">
      <w:pPr>
        <w:spacing w:line="480" w:lineRule="auto"/>
        <w:ind w:firstLine="720"/>
      </w:pPr>
      <w:r w:rsidRPr="008F0822">
        <w:t>A</w:t>
      </w:r>
      <w:r w:rsidR="00413318" w:rsidRPr="008F0822">
        <w:t xml:space="preserve"> householder </w:t>
      </w:r>
      <w:r w:rsidRPr="008F0822">
        <w:t>can report</w:t>
      </w:r>
      <w:r w:rsidR="00413318" w:rsidRPr="008F0822">
        <w:t xml:space="preserve"> that </w:t>
      </w:r>
      <w:r w:rsidRPr="008F0822">
        <w:t xml:space="preserve">all </w:t>
      </w:r>
      <w:r w:rsidR="00413318" w:rsidRPr="008F0822">
        <w:t>members of the household moved together</w:t>
      </w:r>
      <w:r w:rsidRPr="008F0822">
        <w:t>.</w:t>
      </w:r>
      <w:r w:rsidR="00FB5AD6" w:rsidRPr="008F0822">
        <w:rPr>
          <w:rStyle w:val="FootnoteReference"/>
        </w:rPr>
        <w:footnoteReference w:id="25"/>
      </w:r>
      <w:r w:rsidRPr="008F0822">
        <w:t xml:space="preserve"> In that case, all household members are</w:t>
      </w:r>
      <w:r w:rsidR="00413318" w:rsidRPr="008F0822">
        <w:t xml:space="preserve"> </w:t>
      </w:r>
      <w:r w:rsidR="007C1689" w:rsidRPr="008F0822">
        <w:t>given</w:t>
      </w:r>
      <w:r w:rsidR="00413318" w:rsidRPr="008F0822">
        <w:t xml:space="preserve"> the householder’s reason for move</w:t>
      </w:r>
      <w:r w:rsidR="001B7291">
        <w:t xml:space="preserve"> through a pre-edit</w:t>
      </w:r>
      <w:r w:rsidR="00413318" w:rsidRPr="008F0822">
        <w:t>.</w:t>
      </w:r>
      <w:r w:rsidR="00DD6B48" w:rsidRPr="008F0822">
        <w:rPr>
          <w:rStyle w:val="FootnoteReference"/>
        </w:rPr>
        <w:footnoteReference w:id="26"/>
      </w:r>
      <w:r w:rsidR="00A23A4F" w:rsidRPr="008F0822">
        <w:t xml:space="preserve"> In the event of missing </w:t>
      </w:r>
      <w:r w:rsidR="00166AE2" w:rsidRPr="008F0822">
        <w:t>data</w:t>
      </w:r>
      <w:r w:rsidR="00A23A4F" w:rsidRPr="008F0822">
        <w:t xml:space="preserve">, </w:t>
      </w:r>
      <w:r w:rsidR="00E9503F">
        <w:t>cases proceed through the reason for move edit to be assigned or allocated a reason. R</w:t>
      </w:r>
      <w:r w:rsidR="00A23A4F" w:rsidRPr="008F0822">
        <w:t xml:space="preserve">esponses from </w:t>
      </w:r>
      <w:r w:rsidRPr="008F0822">
        <w:t>household members are assigned to other members of the household</w:t>
      </w:r>
      <w:r w:rsidR="00422526" w:rsidRPr="008F0822">
        <w:t>,</w:t>
      </w:r>
      <w:r w:rsidRPr="008F0822">
        <w:t xml:space="preserve"> when available.</w:t>
      </w:r>
      <w:r w:rsidR="00FF7867" w:rsidRPr="008F0822">
        <w:rPr>
          <w:rStyle w:val="FootnoteReference"/>
        </w:rPr>
        <w:footnoteReference w:id="27"/>
      </w:r>
      <w:r w:rsidR="00A23A4F" w:rsidRPr="008F0822">
        <w:t xml:space="preserve"> </w:t>
      </w:r>
      <w:r w:rsidR="00CA01AF" w:rsidRPr="008F0822">
        <w:t>Respondents</w:t>
      </w:r>
      <w:r w:rsidR="00D17FCE" w:rsidRPr="008F0822">
        <w:t xml:space="preserve"> </w:t>
      </w:r>
      <w:r w:rsidR="00FB40E6" w:rsidRPr="008F0822">
        <w:t>who</w:t>
      </w:r>
      <w:r w:rsidR="00D17FCE" w:rsidRPr="008F0822">
        <w:t xml:space="preserve"> </w:t>
      </w:r>
      <w:r w:rsidRPr="008F0822">
        <w:t>do</w:t>
      </w:r>
      <w:r w:rsidR="00FE3E5C" w:rsidRPr="008F0822">
        <w:t xml:space="preserve"> not have a reason for mov</w:t>
      </w:r>
      <w:r w:rsidR="000057D1">
        <w:t>e and are</w:t>
      </w:r>
      <w:r w:rsidR="00422526" w:rsidRPr="008F0822">
        <w:t xml:space="preserve"> not assigned one are</w:t>
      </w:r>
      <w:r w:rsidR="00FE3E5C" w:rsidRPr="008F0822">
        <w:t xml:space="preserve"> allocated </w:t>
      </w:r>
      <w:r w:rsidRPr="008F0822">
        <w:t>from donors</w:t>
      </w:r>
      <w:r w:rsidR="00BF22A9" w:rsidRPr="008F0822">
        <w:t>, which may or may not be in the household, based on</w:t>
      </w:r>
      <w:r w:rsidRPr="008F0822">
        <w:t xml:space="preserve"> specific characteristics</w:t>
      </w:r>
      <w:r w:rsidR="00BF22A9" w:rsidRPr="008F0822">
        <w:t>.</w:t>
      </w:r>
      <w:r w:rsidR="00797E21" w:rsidRPr="008F0822">
        <w:rPr>
          <w:rStyle w:val="FootnoteReference"/>
        </w:rPr>
        <w:footnoteReference w:id="28"/>
      </w:r>
      <w:r w:rsidR="00136F2F">
        <w:t xml:space="preserve"> The final step in the process, weighting, makes the number representative of t</w:t>
      </w:r>
      <w:r w:rsidR="006F1407">
        <w:t>he general population of the United States</w:t>
      </w:r>
      <w:r w:rsidR="00136F2F">
        <w:t xml:space="preserve">. </w:t>
      </w:r>
    </w:p>
    <w:p w:rsidR="00235647" w:rsidRDefault="00201108" w:rsidP="00D17FCE">
      <w:pPr>
        <w:spacing w:line="480" w:lineRule="auto"/>
        <w:ind w:firstLine="720"/>
      </w:pPr>
      <w:r>
        <w:t xml:space="preserve">Based </w:t>
      </w:r>
      <w:r w:rsidR="00A441F4">
        <w:t xml:space="preserve">on the final column of </w:t>
      </w:r>
      <w:r w:rsidR="00C6161D">
        <w:rPr>
          <w:b/>
        </w:rPr>
        <w:t>Table 5</w:t>
      </w:r>
      <w:r w:rsidR="00A441F4">
        <w:t xml:space="preserve">, it is clear that the edits and weighting </w:t>
      </w:r>
      <w:r w:rsidR="00754177">
        <w:t>have a larger impact</w:t>
      </w:r>
      <w:r w:rsidR="00A441F4">
        <w:t xml:space="preserve"> on the reason for</w:t>
      </w:r>
      <w:r w:rsidR="002E50F2">
        <w:t xml:space="preserve"> move distribution than coding.</w:t>
      </w:r>
      <w:r w:rsidR="00364ACA">
        <w:rPr>
          <w:rStyle w:val="FootnoteReference"/>
        </w:rPr>
        <w:footnoteReference w:id="29"/>
      </w:r>
      <w:r w:rsidR="0021438C">
        <w:t xml:space="preserve"> </w:t>
      </w:r>
      <w:r w:rsidR="006E3545">
        <w:t>Fourteen out of the 19 reasons</w:t>
      </w:r>
      <w:r w:rsidR="005E6507">
        <w:t xml:space="preserve"> changed by more than 15 percent after edits and weighting</w:t>
      </w:r>
      <w:r w:rsidR="003D3173">
        <w:t xml:space="preserve">. </w:t>
      </w:r>
    </w:p>
    <w:p w:rsidR="00D82C0D" w:rsidRPr="00D82C0D" w:rsidRDefault="00D82C0D" w:rsidP="007E3AB8">
      <w:pPr>
        <w:spacing w:line="480" w:lineRule="auto"/>
        <w:rPr>
          <w:b/>
        </w:rPr>
      </w:pPr>
      <w:r w:rsidRPr="00D82C0D">
        <w:rPr>
          <w:b/>
        </w:rPr>
        <w:t>Conclusion</w:t>
      </w:r>
    </w:p>
    <w:p w:rsidR="000F12AB" w:rsidRDefault="00D27658">
      <w:pPr>
        <w:spacing w:line="480" w:lineRule="auto"/>
        <w:ind w:firstLine="720"/>
      </w:pPr>
      <w:r>
        <w:t>The</w:t>
      </w:r>
      <w:r w:rsidR="004A5FC1">
        <w:t xml:space="preserve"> reason for move question has bee</w:t>
      </w:r>
      <w:r w:rsidR="001143B8">
        <w:t>n asked o</w:t>
      </w:r>
      <w:r w:rsidR="004A5FC1">
        <w:t>n</w:t>
      </w:r>
      <w:r w:rsidR="001143B8">
        <w:t xml:space="preserve"> the CPS-</w:t>
      </w:r>
      <w:r w:rsidR="004A5FC1">
        <w:t>ASEC for almost two decades</w:t>
      </w:r>
      <w:r w:rsidR="006671A1">
        <w:t xml:space="preserve">. </w:t>
      </w:r>
      <w:r w:rsidR="00AB1968">
        <w:t>In recent years, the</w:t>
      </w:r>
      <w:r w:rsidR="008620D0">
        <w:t xml:space="preserve"> </w:t>
      </w:r>
      <w:r w:rsidR="001A7D35">
        <w:t xml:space="preserve">write-in </w:t>
      </w:r>
      <w:r w:rsidR="001143B8">
        <w:t xml:space="preserve">responses </w:t>
      </w:r>
      <w:r w:rsidR="001A7D35">
        <w:t>for</w:t>
      </w:r>
      <w:r w:rsidR="00AB1968">
        <w:t xml:space="preserve"> </w:t>
      </w:r>
      <w:r w:rsidR="001143B8">
        <w:t>those specifying “</w:t>
      </w:r>
      <w:r w:rsidR="00AB1968">
        <w:t xml:space="preserve">other </w:t>
      </w:r>
      <w:r w:rsidR="001A7D35">
        <w:t>reason</w:t>
      </w:r>
      <w:r w:rsidR="001143B8">
        <w:t>”</w:t>
      </w:r>
      <w:r w:rsidR="00AB1968">
        <w:t xml:space="preserve"> reached extremely low levels. At the same time</w:t>
      </w:r>
      <w:r w:rsidR="00292724">
        <w:t xml:space="preserve">, other family, other </w:t>
      </w:r>
      <w:r w:rsidR="00CA01AF">
        <w:t>job-related</w:t>
      </w:r>
      <w:r w:rsidR="00366DEF">
        <w:t>,</w:t>
      </w:r>
      <w:r w:rsidR="00292724">
        <w:t xml:space="preserve"> and other housing </w:t>
      </w:r>
      <w:r w:rsidR="007128A2">
        <w:t>accounted</w:t>
      </w:r>
      <w:r w:rsidR="00292724">
        <w:t xml:space="preserve"> for as high as </w:t>
      </w:r>
      <w:r w:rsidR="00EC1C8E">
        <w:t>31.0 percent of movers.</w:t>
      </w:r>
      <w:r w:rsidR="001143B8">
        <w:t xml:space="preserve"> </w:t>
      </w:r>
      <w:r w:rsidR="000F12AB">
        <w:t>In an effort to collect additional information</w:t>
      </w:r>
      <w:r w:rsidR="00B362E6">
        <w:t xml:space="preserve"> to </w:t>
      </w:r>
      <w:r w:rsidR="001143B8">
        <w:t xml:space="preserve">improve data on the reasons people and households move, </w:t>
      </w:r>
      <w:r w:rsidR="006A5710">
        <w:t xml:space="preserve">the </w:t>
      </w:r>
      <w:r w:rsidR="00B362E6">
        <w:t xml:space="preserve">ASEC </w:t>
      </w:r>
      <w:r w:rsidR="004C65F3">
        <w:t xml:space="preserve">reason for move </w:t>
      </w:r>
      <w:r w:rsidR="006A5710">
        <w:t>write-in field</w:t>
      </w:r>
      <w:r w:rsidR="00CB63BF">
        <w:t xml:space="preserve"> was expanded </w:t>
      </w:r>
      <w:r w:rsidR="001143B8">
        <w:t xml:space="preserve">in 2016 </w:t>
      </w:r>
      <w:r w:rsidR="00CB63BF">
        <w:t>to include other family, other job</w:t>
      </w:r>
      <w:r w:rsidR="00986B8E">
        <w:t>-related</w:t>
      </w:r>
      <w:r w:rsidR="00CB63BF">
        <w:t xml:space="preserve">, </w:t>
      </w:r>
      <w:r w:rsidR="00276591">
        <w:t xml:space="preserve">and </w:t>
      </w:r>
      <w:r w:rsidR="00CB63BF">
        <w:t>other housing</w:t>
      </w:r>
      <w:r w:rsidR="00276591">
        <w:t xml:space="preserve"> reasons</w:t>
      </w:r>
      <w:r w:rsidR="00CB63BF">
        <w:t>.</w:t>
      </w:r>
      <w:r w:rsidR="00B36781">
        <w:t xml:space="preserve"> The only people impacted by th</w:t>
      </w:r>
      <w:r w:rsidR="007F6706">
        <w:t>is</w:t>
      </w:r>
      <w:r w:rsidR="00B36781">
        <w:t xml:space="preserve"> expansion were movers who selected one of these three </w:t>
      </w:r>
      <w:r w:rsidR="00CA01AF">
        <w:t>reasons</w:t>
      </w:r>
      <w:r w:rsidR="00B36781">
        <w:t xml:space="preserve"> for move choices, </w:t>
      </w:r>
      <w:r w:rsidR="00247F42">
        <w:t>field represent</w:t>
      </w:r>
      <w:r w:rsidR="00781CBD">
        <w:t xml:space="preserve">atives, and migration analysts. No changes were necessary to the edits. </w:t>
      </w:r>
    </w:p>
    <w:p w:rsidR="0020515C" w:rsidRDefault="003600A6" w:rsidP="00D82C0D">
      <w:pPr>
        <w:spacing w:line="480" w:lineRule="auto"/>
        <w:ind w:firstLine="720"/>
      </w:pPr>
      <w:r>
        <w:t>Write-in r</w:t>
      </w:r>
      <w:r w:rsidR="00C66591">
        <w:t>esults from the 2016 ASEC suggest that the other family reason might be the best starting place</w:t>
      </w:r>
      <w:r w:rsidR="00BD775F">
        <w:t xml:space="preserve"> when considering adding another reason to the list. It accounted for </w:t>
      </w:r>
      <w:r w:rsidR="007F6706">
        <w:t>the highest</w:t>
      </w:r>
      <w:r w:rsidR="00BD775F">
        <w:t xml:space="preserve"> percent</w:t>
      </w:r>
      <w:r w:rsidR="007F6706">
        <w:t>age</w:t>
      </w:r>
      <w:r w:rsidR="00BD775F">
        <w:t xml:space="preserve"> of write-ins in 2016. </w:t>
      </w:r>
      <w:r w:rsidR="00D11CF5">
        <w:t xml:space="preserve">Common write-in responses for </w:t>
      </w:r>
      <w:r>
        <w:t>other family</w:t>
      </w:r>
      <w:r w:rsidR="00D11CF5">
        <w:t xml:space="preserve"> included adding a new family member, moving with a family member, and to assist or take care of</w:t>
      </w:r>
      <w:r w:rsidR="00654F86">
        <w:t xml:space="preserve"> a family member. Common write-in responses </w:t>
      </w:r>
      <w:r w:rsidR="007F6706">
        <w:t xml:space="preserve">for other housing included lease ended and sold house. </w:t>
      </w:r>
      <w:r w:rsidR="00ED5838">
        <w:t>Among the common reasons for t</w:t>
      </w:r>
      <w:r w:rsidR="007F6706">
        <w:t xml:space="preserve">he other reason </w:t>
      </w:r>
      <w:r w:rsidR="003946BD">
        <w:t xml:space="preserve">category </w:t>
      </w:r>
      <w:r w:rsidR="00ED5838">
        <w:t>were</w:t>
      </w:r>
      <w:r w:rsidR="007F6706">
        <w:t xml:space="preserve"> moving in with </w:t>
      </w:r>
      <w:r w:rsidR="003946BD">
        <w:t>nonfamily members and school</w:t>
      </w:r>
      <w:r w:rsidR="00654F86">
        <w:t xml:space="preserve">. </w:t>
      </w:r>
    </w:p>
    <w:p w:rsidR="00C66591" w:rsidRPr="00604E79" w:rsidRDefault="0020515C" w:rsidP="00D82C0D">
      <w:pPr>
        <w:spacing w:line="480" w:lineRule="auto"/>
        <w:ind w:firstLine="720"/>
      </w:pPr>
      <w:r w:rsidRPr="00604E79">
        <w:t xml:space="preserve">Another </w:t>
      </w:r>
      <w:r w:rsidR="00647416" w:rsidRPr="00604E79">
        <w:t>unprecedented analysis</w:t>
      </w:r>
      <w:r w:rsidRPr="00604E79">
        <w:t xml:space="preserve"> </w:t>
      </w:r>
      <w:r w:rsidR="00D613C5">
        <w:t xml:space="preserve">included in </w:t>
      </w:r>
      <w:r w:rsidRPr="00604E79">
        <w:t>this paper involved</w:t>
      </w:r>
      <w:r w:rsidR="00647416" w:rsidRPr="00604E79">
        <w:t xml:space="preserve"> examining</w:t>
      </w:r>
      <w:r w:rsidRPr="00604E79">
        <w:t xml:space="preserve"> how the coding, editing, and weighting </w:t>
      </w:r>
      <w:r w:rsidR="00DE55F5" w:rsidRPr="00604E79">
        <w:t xml:space="preserve">procedures </w:t>
      </w:r>
      <w:r w:rsidR="00CA01AF" w:rsidRPr="00604E79">
        <w:t>affected</w:t>
      </w:r>
      <w:r w:rsidRPr="00604E79">
        <w:t xml:space="preserve"> the overal</w:t>
      </w:r>
      <w:r w:rsidR="00D6420C" w:rsidRPr="00604E79">
        <w:t>l reason for move distribution.</w:t>
      </w:r>
      <w:r w:rsidR="00ED3994" w:rsidRPr="00604E79">
        <w:t xml:space="preserve"> Results indicate that coding plays a relatively small role for most of the reasons. The two exceptions were “other job-related” and “other reasons”</w:t>
      </w:r>
      <w:r w:rsidR="004F1301" w:rsidRPr="00604E79">
        <w:t xml:space="preserve">. </w:t>
      </w:r>
      <w:r w:rsidR="006C6CB6" w:rsidRPr="00604E79">
        <w:t xml:space="preserve">Editing and weighting </w:t>
      </w:r>
      <w:r w:rsidR="00604E79" w:rsidRPr="00604E79">
        <w:t xml:space="preserve">appear to exert more influence on the reason for move distribution. </w:t>
      </w:r>
    </w:p>
    <w:p w:rsidR="00C34F7F" w:rsidRPr="00C34F7F" w:rsidRDefault="00C34F7F" w:rsidP="00C34F7F">
      <w:pPr>
        <w:spacing w:line="480" w:lineRule="auto"/>
        <w:rPr>
          <w:b/>
        </w:rPr>
      </w:pPr>
      <w:r w:rsidRPr="00C34F7F">
        <w:rPr>
          <w:b/>
        </w:rPr>
        <w:t>Future research</w:t>
      </w:r>
    </w:p>
    <w:p w:rsidR="00C34F7F" w:rsidRDefault="00C34F7F" w:rsidP="007458DC">
      <w:pPr>
        <w:spacing w:line="480" w:lineRule="auto"/>
        <w:ind w:firstLine="720"/>
      </w:pPr>
      <w:r>
        <w:t xml:space="preserve">This analysis is only the first step towards </w:t>
      </w:r>
      <w:r w:rsidR="00FA4CAB">
        <w:t>a potential change to</w:t>
      </w:r>
      <w:r>
        <w:t xml:space="preserve"> </w:t>
      </w:r>
      <w:r w:rsidR="0086625D">
        <w:t xml:space="preserve">the list of </w:t>
      </w:r>
      <w:r>
        <w:t xml:space="preserve">reason for move responses based on answers to the write-ins. More years of post-expansion data are needed to better determine the appropriate categories. There may be responses unique to 2016 that lose their importance in later years. Therefore, basing decisions on a single year of data would be rash and potentially harmful. After the </w:t>
      </w:r>
      <w:r w:rsidR="000F1239">
        <w:t xml:space="preserve">write-in </w:t>
      </w:r>
      <w:r>
        <w:t xml:space="preserve">expansion has been implemented for a few years, migration analysts will better </w:t>
      </w:r>
      <w:r w:rsidR="0042618E">
        <w:t>understand</w:t>
      </w:r>
      <w:r>
        <w:t xml:space="preserve"> which responses repeatedly appear at or near the top of common responses within each </w:t>
      </w:r>
      <w:r w:rsidR="00F02C2A">
        <w:t xml:space="preserve">of the </w:t>
      </w:r>
      <w:r>
        <w:t>other write-in</w:t>
      </w:r>
      <w:r w:rsidR="00F02C2A">
        <w:t xml:space="preserve"> categories</w:t>
      </w:r>
      <w:r>
        <w:t xml:space="preserve">. Armed with this knowledge, a more representative reason for move list can eventually be created to reduce the overall number of people selecting one of the other reasons and increase the number selecting specific individual reasons. </w:t>
      </w:r>
    </w:p>
    <w:p w:rsidR="00567280" w:rsidRDefault="00AA6E82" w:rsidP="00F02C2A">
      <w:pPr>
        <w:spacing w:line="480" w:lineRule="auto"/>
        <w:ind w:firstLine="720"/>
      </w:pPr>
      <w:r>
        <w:t>Another avenue for future research</w:t>
      </w:r>
      <w:r w:rsidR="00DD317F">
        <w:t xml:space="preserve"> is</w:t>
      </w:r>
      <w:r>
        <w:t xml:space="preserve"> the unexpected increase</w:t>
      </w:r>
      <w:r w:rsidR="00DD317F">
        <w:t xml:space="preserve"> in write-ins for “other reason”</w:t>
      </w:r>
      <w:r w:rsidR="00FE3FDB">
        <w:t xml:space="preserve"> after the expansion. Was this something limited to responses between 2015 and 2016 or</w:t>
      </w:r>
      <w:r w:rsidR="006042AA">
        <w:t xml:space="preserve"> will it continue to be higher? What factor(s) could account for such an increase besi</w:t>
      </w:r>
      <w:r w:rsidR="00781CD4">
        <w:t>des the expansion? How does the</w:t>
      </w:r>
      <w:r w:rsidR="005E0665">
        <w:t xml:space="preserve"> new sample </w:t>
      </w:r>
      <w:r w:rsidR="00CA01AF">
        <w:t>affect</w:t>
      </w:r>
      <w:r w:rsidR="005E0665">
        <w:t xml:space="preserve"> the results? </w:t>
      </w:r>
      <w:r w:rsidR="00A001DB" w:rsidRPr="009B470F">
        <w:t>Evaluation of the data to answer these questions may also improve our collection and reporting of data about why people move.</w:t>
      </w:r>
      <w:r w:rsidR="00A001DB">
        <w:t xml:space="preserve"> </w:t>
      </w:r>
    </w:p>
    <w:p w:rsidR="00DC46CF" w:rsidRDefault="00DC46CF" w:rsidP="00567280">
      <w:pPr>
        <w:spacing w:line="480" w:lineRule="auto"/>
        <w:ind w:firstLine="720"/>
        <w:jc w:val="center"/>
        <w:rPr>
          <w:b/>
        </w:rPr>
      </w:pPr>
      <w:r>
        <w:rPr>
          <w:b/>
        </w:rPr>
        <w:br w:type="page"/>
      </w:r>
    </w:p>
    <w:p w:rsidR="00AA6E82" w:rsidRDefault="00567280" w:rsidP="00567280">
      <w:pPr>
        <w:spacing w:line="480" w:lineRule="auto"/>
        <w:ind w:firstLine="720"/>
        <w:jc w:val="center"/>
        <w:rPr>
          <w:b/>
        </w:rPr>
      </w:pPr>
      <w:r w:rsidRPr="00567280">
        <w:rPr>
          <w:b/>
        </w:rPr>
        <w:t>References</w:t>
      </w:r>
    </w:p>
    <w:p w:rsidR="00567280" w:rsidRDefault="00567280" w:rsidP="00567280">
      <w:pPr>
        <w:ind w:left="720"/>
        <w:contextualSpacing/>
      </w:pPr>
      <w:r w:rsidRPr="00567280">
        <w:t xml:space="preserve">Ihrke, David K. 2014. </w:t>
      </w:r>
      <w:r w:rsidRPr="000B6492">
        <w:rPr>
          <w:i/>
        </w:rPr>
        <w:t>Reason for Moving: 2012 to 2013</w:t>
      </w:r>
      <w:r w:rsidRPr="00567280">
        <w:t>.</w:t>
      </w:r>
      <w:r>
        <w:t xml:space="preserve"> Current Population Reports. P20-574. U.S. Census Bureau: Washington, D.C. </w:t>
      </w:r>
      <w:r w:rsidRPr="00567280">
        <w:t xml:space="preserve"> </w:t>
      </w:r>
    </w:p>
    <w:p w:rsidR="00147286" w:rsidRDefault="00147286" w:rsidP="00567280">
      <w:pPr>
        <w:ind w:left="720"/>
        <w:contextualSpacing/>
      </w:pPr>
    </w:p>
    <w:p w:rsidR="00D84E11" w:rsidRPr="00D84E11" w:rsidRDefault="00147286" w:rsidP="00D84E11">
      <w:pPr>
        <w:ind w:left="720"/>
        <w:contextualSpacing/>
        <w:rPr>
          <w:b/>
          <w:bCs/>
        </w:rPr>
        <w:sectPr w:rsidR="00D84E11" w:rsidRPr="00D84E11" w:rsidSect="006D169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pPr>
      <w:proofErr w:type="spellStart"/>
      <w:r>
        <w:t>Schachter</w:t>
      </w:r>
      <w:proofErr w:type="spellEnd"/>
      <w:r>
        <w:t xml:space="preserve">. Jason. 2001. </w:t>
      </w:r>
      <w:r w:rsidRPr="00147286">
        <w:rPr>
          <w:i/>
        </w:rPr>
        <w:t xml:space="preserve">Why People Move: </w:t>
      </w:r>
      <w:r w:rsidRPr="00147286">
        <w:rPr>
          <w:bCs/>
          <w:i/>
        </w:rPr>
        <w:t>Exploring the March 2000 Current Population Survey: March 1999 to March 2000.</w:t>
      </w:r>
      <w:r>
        <w:rPr>
          <w:b/>
          <w:bCs/>
        </w:rPr>
        <w:t xml:space="preserve"> </w:t>
      </w:r>
      <w:r w:rsidRPr="007B238D">
        <w:rPr>
          <w:bCs/>
        </w:rPr>
        <w:t>Current Population Reports. P23-</w:t>
      </w:r>
      <w:r w:rsidR="007B238D">
        <w:rPr>
          <w:bCs/>
        </w:rPr>
        <w:t>204. U.S. Census Bureau, Washington, D.C.</w:t>
      </w:r>
    </w:p>
    <w:p w:rsidR="00EE6D36" w:rsidRDefault="009D710D" w:rsidP="000E7A17">
      <w:pPr>
        <w:ind w:left="720"/>
        <w:contextualSpacing/>
        <w:jc w:val="center"/>
      </w:pPr>
      <w:r w:rsidRPr="009D710D">
        <w:rPr>
          <w:noProof/>
        </w:rPr>
        <w:drawing>
          <wp:inline distT="0" distB="0" distL="0" distR="0">
            <wp:extent cx="6581775" cy="7943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81775" cy="7943850"/>
                    </a:xfrm>
                    <a:prstGeom prst="rect">
                      <a:avLst/>
                    </a:prstGeom>
                    <a:noFill/>
                    <a:ln>
                      <a:noFill/>
                    </a:ln>
                  </pic:spPr>
                </pic:pic>
              </a:graphicData>
            </a:graphic>
          </wp:inline>
        </w:drawing>
      </w:r>
    </w:p>
    <w:p w:rsidR="00D84E11" w:rsidRDefault="00D84E11" w:rsidP="00EE6D36">
      <w:pPr>
        <w:contextualSpacing/>
        <w:sectPr w:rsidR="00D84E11" w:rsidSect="000E7A17">
          <w:pgSz w:w="12240" w:h="15840" w:code="1"/>
          <w:pgMar w:top="720" w:right="720" w:bottom="720" w:left="720" w:header="720" w:footer="720" w:gutter="0"/>
          <w:cols w:space="720"/>
          <w:docGrid w:linePitch="360"/>
        </w:sectPr>
      </w:pPr>
    </w:p>
    <w:p w:rsidR="00EE6D36" w:rsidRDefault="00D84E11" w:rsidP="00567280">
      <w:pPr>
        <w:ind w:left="720"/>
        <w:contextualSpacing/>
        <w:sectPr w:rsidR="00EE6D36" w:rsidSect="006D169D">
          <w:pgSz w:w="15840" w:h="12240" w:orient="landscape" w:code="1"/>
          <w:pgMar w:top="1440" w:right="1440" w:bottom="1440" w:left="1440" w:header="720" w:footer="720" w:gutter="0"/>
          <w:cols w:space="720"/>
          <w:docGrid w:linePitch="360"/>
        </w:sectPr>
      </w:pPr>
      <w:r>
        <w:rPr>
          <w:noProof/>
        </w:rPr>
        <w:drawing>
          <wp:inline distT="0" distB="0" distL="0" distR="0" wp14:anchorId="2BAC9790">
            <wp:extent cx="7910363" cy="5743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17703" cy="5748904"/>
                    </a:xfrm>
                    <a:prstGeom prst="rect">
                      <a:avLst/>
                    </a:prstGeom>
                    <a:noFill/>
                  </pic:spPr>
                </pic:pic>
              </a:graphicData>
            </a:graphic>
          </wp:inline>
        </w:drawing>
      </w:r>
    </w:p>
    <w:p w:rsidR="00EE6D36" w:rsidRDefault="00EE6D36" w:rsidP="00567280">
      <w:pPr>
        <w:ind w:left="720"/>
        <w:contextualSpacing/>
      </w:pPr>
    </w:p>
    <w:p w:rsidR="00EE6D36" w:rsidRDefault="00EE6D36"/>
    <w:p w:rsidR="00437538" w:rsidRDefault="00437538"/>
    <w:p w:rsidR="00437538" w:rsidRDefault="00437538"/>
    <w:p w:rsidR="00EE6D36" w:rsidRDefault="00EE6D36"/>
    <w:p w:rsidR="002132E2" w:rsidRDefault="002132E2"/>
    <w:p w:rsidR="002132E2" w:rsidRDefault="002132E2"/>
    <w:p w:rsidR="00EE6D36" w:rsidRDefault="00EE6D36"/>
    <w:tbl>
      <w:tblPr>
        <w:tblW w:w="6380" w:type="dxa"/>
        <w:jc w:val="center"/>
        <w:tblInd w:w="93" w:type="dxa"/>
        <w:tblLook w:val="04A0" w:firstRow="1" w:lastRow="0" w:firstColumn="1" w:lastColumn="0" w:noHBand="0" w:noVBand="1"/>
      </w:tblPr>
      <w:tblGrid>
        <w:gridCol w:w="2480"/>
        <w:gridCol w:w="1020"/>
        <w:gridCol w:w="960"/>
        <w:gridCol w:w="960"/>
        <w:gridCol w:w="960"/>
      </w:tblGrid>
      <w:tr w:rsidR="002132E2" w:rsidTr="002132E2">
        <w:trPr>
          <w:trHeight w:val="720"/>
          <w:jc w:val="center"/>
        </w:trPr>
        <w:tc>
          <w:tcPr>
            <w:tcW w:w="6380" w:type="dxa"/>
            <w:gridSpan w:val="5"/>
            <w:tcBorders>
              <w:top w:val="nil"/>
              <w:left w:val="nil"/>
              <w:bottom w:val="single" w:sz="4" w:space="0" w:color="auto"/>
              <w:right w:val="nil"/>
            </w:tcBorders>
            <w:shd w:val="clear" w:color="auto" w:fill="auto"/>
            <w:vAlign w:val="bottom"/>
            <w:hideMark/>
          </w:tcPr>
          <w:p w:rsidR="002132E2" w:rsidRDefault="002132E2">
            <w:pPr>
              <w:rPr>
                <w:rFonts w:ascii="Calibri" w:hAnsi="Calibri"/>
                <w:color w:val="000000"/>
                <w:sz w:val="22"/>
                <w:szCs w:val="22"/>
              </w:rPr>
            </w:pPr>
            <w:r>
              <w:rPr>
                <w:rFonts w:ascii="Calibri" w:hAnsi="Calibri"/>
                <w:color w:val="000000"/>
                <w:sz w:val="22"/>
                <w:szCs w:val="22"/>
              </w:rPr>
              <w:t>Table 2. 2016 Other Reason for Move Distribution: Before and After Coding</w:t>
            </w:r>
          </w:p>
        </w:tc>
      </w:tr>
      <w:tr w:rsidR="002132E2" w:rsidTr="002132E2">
        <w:trPr>
          <w:trHeight w:val="300"/>
          <w:jc w:val="center"/>
        </w:trPr>
        <w:tc>
          <w:tcPr>
            <w:tcW w:w="2480" w:type="dxa"/>
            <w:vMerge w:val="restart"/>
            <w:tcBorders>
              <w:top w:val="nil"/>
              <w:left w:val="single" w:sz="4" w:space="0" w:color="auto"/>
              <w:bottom w:val="single" w:sz="4" w:space="0" w:color="000000"/>
              <w:right w:val="single" w:sz="4" w:space="0" w:color="auto"/>
            </w:tcBorders>
            <w:shd w:val="clear" w:color="auto" w:fill="auto"/>
            <w:vAlign w:val="bottom"/>
            <w:hideMark/>
          </w:tcPr>
          <w:p w:rsidR="002132E2" w:rsidRDefault="002132E2">
            <w:pPr>
              <w:rPr>
                <w:rFonts w:ascii="Calibri" w:hAnsi="Calibri"/>
                <w:color w:val="000000"/>
                <w:sz w:val="22"/>
                <w:szCs w:val="22"/>
              </w:rPr>
            </w:pPr>
            <w:r>
              <w:rPr>
                <w:rFonts w:ascii="Calibri" w:hAnsi="Calibri"/>
                <w:color w:val="000000"/>
                <w:sz w:val="22"/>
                <w:szCs w:val="22"/>
              </w:rPr>
              <w:t>Reason for Move/1</w:t>
            </w:r>
          </w:p>
        </w:tc>
        <w:tc>
          <w:tcPr>
            <w:tcW w:w="19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132E2" w:rsidRDefault="002132E2">
            <w:pPr>
              <w:jc w:val="center"/>
              <w:rPr>
                <w:rFonts w:ascii="Calibri" w:hAnsi="Calibri"/>
                <w:color w:val="000000"/>
                <w:sz w:val="22"/>
                <w:szCs w:val="22"/>
              </w:rPr>
            </w:pPr>
            <w:r>
              <w:rPr>
                <w:rFonts w:ascii="Calibri" w:hAnsi="Calibri"/>
                <w:color w:val="000000"/>
                <w:sz w:val="22"/>
                <w:szCs w:val="22"/>
              </w:rPr>
              <w:t>Before Coding</w:t>
            </w:r>
          </w:p>
        </w:tc>
        <w:tc>
          <w:tcPr>
            <w:tcW w:w="1920" w:type="dxa"/>
            <w:gridSpan w:val="2"/>
            <w:tcBorders>
              <w:top w:val="single" w:sz="4" w:space="0" w:color="auto"/>
              <w:left w:val="nil"/>
              <w:bottom w:val="single" w:sz="4" w:space="0" w:color="auto"/>
              <w:right w:val="single" w:sz="4" w:space="0" w:color="000000"/>
            </w:tcBorders>
            <w:shd w:val="clear" w:color="auto" w:fill="auto"/>
            <w:noWrap/>
            <w:hideMark/>
          </w:tcPr>
          <w:p w:rsidR="002132E2" w:rsidRDefault="002132E2">
            <w:pPr>
              <w:jc w:val="center"/>
              <w:rPr>
                <w:rFonts w:ascii="Calibri" w:hAnsi="Calibri"/>
                <w:color w:val="000000"/>
                <w:sz w:val="22"/>
                <w:szCs w:val="22"/>
              </w:rPr>
            </w:pPr>
            <w:r>
              <w:rPr>
                <w:rFonts w:ascii="Calibri" w:hAnsi="Calibri"/>
                <w:color w:val="000000"/>
                <w:sz w:val="22"/>
                <w:szCs w:val="22"/>
              </w:rPr>
              <w:t>After Coding/2</w:t>
            </w:r>
          </w:p>
        </w:tc>
      </w:tr>
      <w:tr w:rsidR="002132E2" w:rsidTr="002132E2">
        <w:trPr>
          <w:trHeight w:val="300"/>
          <w:jc w:val="center"/>
        </w:trPr>
        <w:tc>
          <w:tcPr>
            <w:tcW w:w="2480" w:type="dxa"/>
            <w:vMerge/>
            <w:tcBorders>
              <w:top w:val="nil"/>
              <w:left w:val="single" w:sz="4" w:space="0" w:color="auto"/>
              <w:bottom w:val="single" w:sz="4" w:space="0" w:color="000000"/>
              <w:right w:val="single" w:sz="4" w:space="0" w:color="auto"/>
            </w:tcBorders>
            <w:vAlign w:val="center"/>
            <w:hideMark/>
          </w:tcPr>
          <w:p w:rsidR="002132E2" w:rsidRDefault="002132E2">
            <w:pPr>
              <w:rPr>
                <w:rFonts w:ascii="Calibri" w:hAnsi="Calibri"/>
                <w:color w:val="000000"/>
                <w:sz w:val="22"/>
                <w:szCs w:val="22"/>
              </w:rPr>
            </w:pPr>
          </w:p>
        </w:tc>
        <w:tc>
          <w:tcPr>
            <w:tcW w:w="1020" w:type="dxa"/>
            <w:tcBorders>
              <w:top w:val="nil"/>
              <w:left w:val="nil"/>
              <w:bottom w:val="single" w:sz="4" w:space="0" w:color="auto"/>
              <w:right w:val="single" w:sz="4" w:space="0" w:color="auto"/>
            </w:tcBorders>
            <w:shd w:val="clear" w:color="auto" w:fill="auto"/>
            <w:vAlign w:val="bottom"/>
            <w:hideMark/>
          </w:tcPr>
          <w:p w:rsidR="002132E2" w:rsidRDefault="002132E2">
            <w:pPr>
              <w:rPr>
                <w:rFonts w:ascii="Calibri" w:hAnsi="Calibri"/>
                <w:color w:val="000000"/>
                <w:sz w:val="22"/>
                <w:szCs w:val="22"/>
              </w:rPr>
            </w:pPr>
            <w:r>
              <w:rPr>
                <w:rFonts w:ascii="Calibri" w:hAnsi="Calibri"/>
                <w:color w:val="000000"/>
                <w:sz w:val="22"/>
                <w:szCs w:val="22"/>
              </w:rPr>
              <w:t>Number</w:t>
            </w:r>
          </w:p>
        </w:tc>
        <w:tc>
          <w:tcPr>
            <w:tcW w:w="960" w:type="dxa"/>
            <w:tcBorders>
              <w:top w:val="nil"/>
              <w:left w:val="nil"/>
              <w:bottom w:val="single" w:sz="4" w:space="0" w:color="auto"/>
              <w:right w:val="single" w:sz="4" w:space="0" w:color="auto"/>
            </w:tcBorders>
            <w:shd w:val="clear" w:color="auto" w:fill="auto"/>
            <w:vAlign w:val="bottom"/>
            <w:hideMark/>
          </w:tcPr>
          <w:p w:rsidR="002132E2" w:rsidRDefault="002132E2">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vAlign w:val="bottom"/>
            <w:hideMark/>
          </w:tcPr>
          <w:p w:rsidR="002132E2" w:rsidRDefault="002132E2">
            <w:pPr>
              <w:rPr>
                <w:rFonts w:ascii="Calibri" w:hAnsi="Calibri"/>
                <w:color w:val="000000"/>
                <w:sz w:val="22"/>
                <w:szCs w:val="22"/>
              </w:rPr>
            </w:pPr>
            <w:r>
              <w:rPr>
                <w:rFonts w:ascii="Calibri" w:hAnsi="Calibri"/>
                <w:color w:val="000000"/>
                <w:sz w:val="22"/>
                <w:szCs w:val="22"/>
              </w:rPr>
              <w:t>Number</w:t>
            </w:r>
          </w:p>
        </w:tc>
        <w:tc>
          <w:tcPr>
            <w:tcW w:w="960" w:type="dxa"/>
            <w:tcBorders>
              <w:top w:val="nil"/>
              <w:left w:val="nil"/>
              <w:bottom w:val="single" w:sz="4" w:space="0" w:color="auto"/>
              <w:right w:val="single" w:sz="4" w:space="0" w:color="auto"/>
            </w:tcBorders>
            <w:shd w:val="clear" w:color="auto" w:fill="auto"/>
            <w:vAlign w:val="bottom"/>
            <w:hideMark/>
          </w:tcPr>
          <w:p w:rsidR="002132E2" w:rsidRDefault="002132E2">
            <w:pPr>
              <w:rPr>
                <w:rFonts w:ascii="Calibri" w:hAnsi="Calibri"/>
                <w:color w:val="000000"/>
                <w:sz w:val="22"/>
                <w:szCs w:val="22"/>
              </w:rPr>
            </w:pPr>
            <w:r>
              <w:rPr>
                <w:rFonts w:ascii="Calibri" w:hAnsi="Calibri"/>
                <w:color w:val="000000"/>
                <w:sz w:val="22"/>
                <w:szCs w:val="22"/>
              </w:rPr>
              <w:t>Percent</w:t>
            </w:r>
          </w:p>
        </w:tc>
      </w:tr>
      <w:tr w:rsidR="002132E2" w:rsidTr="002132E2">
        <w:trPr>
          <w:trHeight w:val="300"/>
          <w:jc w:val="center"/>
        </w:trPr>
        <w:tc>
          <w:tcPr>
            <w:tcW w:w="2480" w:type="dxa"/>
            <w:tcBorders>
              <w:top w:val="nil"/>
              <w:left w:val="single" w:sz="4" w:space="0" w:color="auto"/>
              <w:bottom w:val="nil"/>
              <w:right w:val="single" w:sz="4" w:space="0" w:color="auto"/>
            </w:tcBorders>
            <w:shd w:val="clear" w:color="auto" w:fill="auto"/>
            <w:noWrap/>
            <w:vAlign w:val="bottom"/>
            <w:hideMark/>
          </w:tcPr>
          <w:p w:rsidR="002132E2" w:rsidRDefault="002132E2">
            <w:pPr>
              <w:rPr>
                <w:rFonts w:ascii="Calibri" w:hAnsi="Calibri"/>
                <w:color w:val="000000"/>
                <w:sz w:val="22"/>
                <w:szCs w:val="22"/>
              </w:rPr>
            </w:pPr>
            <w:r>
              <w:rPr>
                <w:rFonts w:ascii="Calibri" w:hAnsi="Calibri"/>
                <w:color w:val="000000"/>
                <w:sz w:val="22"/>
                <w:szCs w:val="22"/>
              </w:rPr>
              <w:t>Other family reason</w:t>
            </w:r>
          </w:p>
        </w:tc>
        <w:tc>
          <w:tcPr>
            <w:tcW w:w="1020" w:type="dxa"/>
            <w:tcBorders>
              <w:top w:val="nil"/>
              <w:left w:val="nil"/>
              <w:bottom w:val="nil"/>
              <w:right w:val="single" w:sz="4" w:space="0" w:color="auto"/>
            </w:tcBorders>
            <w:shd w:val="clear" w:color="auto" w:fill="auto"/>
            <w:noWrap/>
            <w:vAlign w:val="bottom"/>
            <w:hideMark/>
          </w:tcPr>
          <w:p w:rsidR="002132E2" w:rsidRDefault="002132E2">
            <w:pPr>
              <w:jc w:val="right"/>
              <w:rPr>
                <w:rFonts w:ascii="Calibri" w:hAnsi="Calibri"/>
                <w:color w:val="000000"/>
                <w:sz w:val="22"/>
                <w:szCs w:val="22"/>
              </w:rPr>
            </w:pPr>
            <w:r>
              <w:rPr>
                <w:rFonts w:ascii="Calibri" w:hAnsi="Calibri"/>
                <w:color w:val="000000"/>
                <w:sz w:val="22"/>
                <w:szCs w:val="22"/>
              </w:rPr>
              <w:t>927</w:t>
            </w:r>
          </w:p>
        </w:tc>
        <w:tc>
          <w:tcPr>
            <w:tcW w:w="960" w:type="dxa"/>
            <w:tcBorders>
              <w:top w:val="nil"/>
              <w:left w:val="nil"/>
              <w:bottom w:val="nil"/>
              <w:right w:val="single" w:sz="4" w:space="0" w:color="auto"/>
            </w:tcBorders>
            <w:shd w:val="clear" w:color="auto" w:fill="auto"/>
            <w:noWrap/>
            <w:vAlign w:val="bottom"/>
            <w:hideMark/>
          </w:tcPr>
          <w:p w:rsidR="002132E2" w:rsidRDefault="002132E2">
            <w:pPr>
              <w:jc w:val="right"/>
              <w:rPr>
                <w:rFonts w:ascii="Calibri" w:hAnsi="Calibri"/>
                <w:color w:val="000000"/>
                <w:sz w:val="22"/>
                <w:szCs w:val="22"/>
              </w:rPr>
            </w:pPr>
            <w:r>
              <w:rPr>
                <w:rFonts w:ascii="Calibri" w:hAnsi="Calibri"/>
                <w:color w:val="000000"/>
                <w:sz w:val="22"/>
                <w:szCs w:val="22"/>
              </w:rPr>
              <w:t>13.1</w:t>
            </w:r>
          </w:p>
        </w:tc>
        <w:tc>
          <w:tcPr>
            <w:tcW w:w="960" w:type="dxa"/>
            <w:tcBorders>
              <w:top w:val="nil"/>
              <w:left w:val="nil"/>
              <w:bottom w:val="nil"/>
              <w:right w:val="single" w:sz="4" w:space="0" w:color="auto"/>
            </w:tcBorders>
            <w:shd w:val="clear" w:color="auto" w:fill="auto"/>
            <w:noWrap/>
            <w:vAlign w:val="bottom"/>
            <w:hideMark/>
          </w:tcPr>
          <w:p w:rsidR="002132E2" w:rsidRDefault="002132E2">
            <w:pPr>
              <w:jc w:val="right"/>
              <w:rPr>
                <w:rFonts w:ascii="Calibri" w:hAnsi="Calibri"/>
                <w:color w:val="000000"/>
                <w:sz w:val="22"/>
                <w:szCs w:val="22"/>
              </w:rPr>
            </w:pPr>
            <w:r>
              <w:rPr>
                <w:rFonts w:ascii="Calibri" w:hAnsi="Calibri"/>
                <w:color w:val="000000"/>
                <w:sz w:val="22"/>
                <w:szCs w:val="22"/>
              </w:rPr>
              <w:t>917</w:t>
            </w:r>
          </w:p>
        </w:tc>
        <w:tc>
          <w:tcPr>
            <w:tcW w:w="960" w:type="dxa"/>
            <w:tcBorders>
              <w:top w:val="nil"/>
              <w:left w:val="nil"/>
              <w:bottom w:val="nil"/>
              <w:right w:val="single" w:sz="4" w:space="0" w:color="auto"/>
            </w:tcBorders>
            <w:shd w:val="clear" w:color="auto" w:fill="auto"/>
            <w:noWrap/>
            <w:vAlign w:val="bottom"/>
            <w:hideMark/>
          </w:tcPr>
          <w:p w:rsidR="002132E2" w:rsidRDefault="002132E2">
            <w:pPr>
              <w:jc w:val="right"/>
              <w:rPr>
                <w:rFonts w:ascii="Calibri" w:hAnsi="Calibri"/>
                <w:color w:val="000000"/>
                <w:sz w:val="22"/>
                <w:szCs w:val="22"/>
              </w:rPr>
            </w:pPr>
            <w:r>
              <w:rPr>
                <w:rFonts w:ascii="Calibri" w:hAnsi="Calibri"/>
                <w:color w:val="000000"/>
                <w:sz w:val="22"/>
                <w:szCs w:val="22"/>
              </w:rPr>
              <w:t>12.9</w:t>
            </w:r>
          </w:p>
        </w:tc>
      </w:tr>
      <w:tr w:rsidR="002132E2" w:rsidTr="002132E2">
        <w:trPr>
          <w:trHeight w:val="300"/>
          <w:jc w:val="center"/>
        </w:trPr>
        <w:tc>
          <w:tcPr>
            <w:tcW w:w="2480" w:type="dxa"/>
            <w:tcBorders>
              <w:top w:val="nil"/>
              <w:left w:val="single" w:sz="4" w:space="0" w:color="auto"/>
              <w:bottom w:val="nil"/>
              <w:right w:val="single" w:sz="4" w:space="0" w:color="auto"/>
            </w:tcBorders>
            <w:shd w:val="clear" w:color="auto" w:fill="auto"/>
            <w:noWrap/>
            <w:vAlign w:val="bottom"/>
            <w:hideMark/>
          </w:tcPr>
          <w:p w:rsidR="002132E2" w:rsidRDefault="002132E2">
            <w:pPr>
              <w:rPr>
                <w:rFonts w:ascii="Calibri" w:hAnsi="Calibri"/>
                <w:color w:val="000000"/>
                <w:sz w:val="22"/>
                <w:szCs w:val="22"/>
              </w:rPr>
            </w:pPr>
            <w:r>
              <w:rPr>
                <w:rFonts w:ascii="Calibri" w:hAnsi="Calibri"/>
                <w:color w:val="000000"/>
                <w:sz w:val="22"/>
                <w:szCs w:val="22"/>
              </w:rPr>
              <w:t>Other job-related reason</w:t>
            </w:r>
          </w:p>
        </w:tc>
        <w:tc>
          <w:tcPr>
            <w:tcW w:w="1020" w:type="dxa"/>
            <w:tcBorders>
              <w:top w:val="nil"/>
              <w:left w:val="nil"/>
              <w:bottom w:val="nil"/>
              <w:right w:val="single" w:sz="4" w:space="0" w:color="auto"/>
            </w:tcBorders>
            <w:shd w:val="clear" w:color="auto" w:fill="auto"/>
            <w:noWrap/>
            <w:vAlign w:val="bottom"/>
            <w:hideMark/>
          </w:tcPr>
          <w:p w:rsidR="002132E2" w:rsidRDefault="002132E2">
            <w:pPr>
              <w:jc w:val="right"/>
              <w:rPr>
                <w:rFonts w:ascii="Calibri" w:hAnsi="Calibri"/>
                <w:color w:val="000000"/>
                <w:sz w:val="22"/>
                <w:szCs w:val="22"/>
              </w:rPr>
            </w:pPr>
            <w:r>
              <w:rPr>
                <w:rFonts w:ascii="Calibri" w:hAnsi="Calibri"/>
                <w:color w:val="000000"/>
                <w:sz w:val="22"/>
                <w:szCs w:val="22"/>
              </w:rPr>
              <w:t>72</w:t>
            </w:r>
          </w:p>
        </w:tc>
        <w:tc>
          <w:tcPr>
            <w:tcW w:w="960" w:type="dxa"/>
            <w:tcBorders>
              <w:top w:val="nil"/>
              <w:left w:val="nil"/>
              <w:bottom w:val="nil"/>
              <w:right w:val="single" w:sz="4" w:space="0" w:color="auto"/>
            </w:tcBorders>
            <w:shd w:val="clear" w:color="auto" w:fill="auto"/>
            <w:noWrap/>
            <w:vAlign w:val="bottom"/>
            <w:hideMark/>
          </w:tcPr>
          <w:p w:rsidR="002132E2" w:rsidRDefault="002132E2">
            <w:pPr>
              <w:jc w:val="right"/>
              <w:rPr>
                <w:rFonts w:ascii="Calibri" w:hAnsi="Calibri"/>
                <w:color w:val="000000"/>
                <w:sz w:val="22"/>
                <w:szCs w:val="22"/>
              </w:rPr>
            </w:pPr>
            <w:r>
              <w:rPr>
                <w:rFonts w:ascii="Calibri" w:hAnsi="Calibri"/>
                <w:color w:val="000000"/>
                <w:sz w:val="22"/>
                <w:szCs w:val="22"/>
              </w:rPr>
              <w:t>1.0</w:t>
            </w:r>
          </w:p>
        </w:tc>
        <w:tc>
          <w:tcPr>
            <w:tcW w:w="960" w:type="dxa"/>
            <w:tcBorders>
              <w:top w:val="nil"/>
              <w:left w:val="nil"/>
              <w:bottom w:val="nil"/>
              <w:right w:val="single" w:sz="4" w:space="0" w:color="auto"/>
            </w:tcBorders>
            <w:shd w:val="clear" w:color="auto" w:fill="auto"/>
            <w:noWrap/>
            <w:vAlign w:val="bottom"/>
            <w:hideMark/>
          </w:tcPr>
          <w:p w:rsidR="002132E2" w:rsidRDefault="002132E2">
            <w:pPr>
              <w:jc w:val="right"/>
              <w:rPr>
                <w:rFonts w:ascii="Calibri" w:hAnsi="Calibri"/>
                <w:color w:val="000000"/>
                <w:sz w:val="22"/>
                <w:szCs w:val="22"/>
              </w:rPr>
            </w:pPr>
            <w:r>
              <w:rPr>
                <w:rFonts w:ascii="Calibri" w:hAnsi="Calibri"/>
                <w:color w:val="000000"/>
                <w:sz w:val="22"/>
                <w:szCs w:val="22"/>
              </w:rPr>
              <w:t>31</w:t>
            </w:r>
          </w:p>
        </w:tc>
        <w:tc>
          <w:tcPr>
            <w:tcW w:w="960" w:type="dxa"/>
            <w:tcBorders>
              <w:top w:val="nil"/>
              <w:left w:val="nil"/>
              <w:bottom w:val="nil"/>
              <w:right w:val="single" w:sz="4" w:space="0" w:color="auto"/>
            </w:tcBorders>
            <w:shd w:val="clear" w:color="auto" w:fill="auto"/>
            <w:noWrap/>
            <w:vAlign w:val="bottom"/>
            <w:hideMark/>
          </w:tcPr>
          <w:p w:rsidR="002132E2" w:rsidRDefault="002132E2">
            <w:pPr>
              <w:jc w:val="right"/>
              <w:rPr>
                <w:rFonts w:ascii="Calibri" w:hAnsi="Calibri"/>
                <w:color w:val="000000"/>
                <w:sz w:val="22"/>
                <w:szCs w:val="22"/>
              </w:rPr>
            </w:pPr>
            <w:r>
              <w:rPr>
                <w:rFonts w:ascii="Calibri" w:hAnsi="Calibri"/>
                <w:color w:val="000000"/>
                <w:sz w:val="22"/>
                <w:szCs w:val="22"/>
              </w:rPr>
              <w:t>0.4</w:t>
            </w:r>
          </w:p>
        </w:tc>
      </w:tr>
      <w:tr w:rsidR="002132E2" w:rsidTr="002132E2">
        <w:trPr>
          <w:trHeight w:val="300"/>
          <w:jc w:val="center"/>
        </w:trPr>
        <w:tc>
          <w:tcPr>
            <w:tcW w:w="2480" w:type="dxa"/>
            <w:tcBorders>
              <w:top w:val="nil"/>
              <w:left w:val="single" w:sz="4" w:space="0" w:color="auto"/>
              <w:bottom w:val="nil"/>
              <w:right w:val="single" w:sz="4" w:space="0" w:color="auto"/>
            </w:tcBorders>
            <w:shd w:val="clear" w:color="auto" w:fill="auto"/>
            <w:noWrap/>
            <w:vAlign w:val="bottom"/>
            <w:hideMark/>
          </w:tcPr>
          <w:p w:rsidR="002132E2" w:rsidRDefault="002132E2">
            <w:pPr>
              <w:rPr>
                <w:rFonts w:ascii="Calibri" w:hAnsi="Calibri"/>
                <w:color w:val="000000"/>
                <w:sz w:val="22"/>
                <w:szCs w:val="22"/>
              </w:rPr>
            </w:pPr>
            <w:r>
              <w:rPr>
                <w:rFonts w:ascii="Calibri" w:hAnsi="Calibri"/>
                <w:color w:val="000000"/>
                <w:sz w:val="22"/>
                <w:szCs w:val="22"/>
              </w:rPr>
              <w:t>Other housing reason</w:t>
            </w:r>
          </w:p>
        </w:tc>
        <w:tc>
          <w:tcPr>
            <w:tcW w:w="1020" w:type="dxa"/>
            <w:tcBorders>
              <w:top w:val="nil"/>
              <w:left w:val="nil"/>
              <w:bottom w:val="nil"/>
              <w:right w:val="single" w:sz="4" w:space="0" w:color="auto"/>
            </w:tcBorders>
            <w:shd w:val="clear" w:color="auto" w:fill="auto"/>
            <w:noWrap/>
            <w:vAlign w:val="bottom"/>
            <w:hideMark/>
          </w:tcPr>
          <w:p w:rsidR="002132E2" w:rsidRDefault="002132E2">
            <w:pPr>
              <w:jc w:val="right"/>
              <w:rPr>
                <w:rFonts w:ascii="Calibri" w:hAnsi="Calibri"/>
                <w:color w:val="000000"/>
                <w:sz w:val="22"/>
                <w:szCs w:val="22"/>
              </w:rPr>
            </w:pPr>
            <w:r>
              <w:rPr>
                <w:rFonts w:ascii="Calibri" w:hAnsi="Calibri"/>
                <w:color w:val="000000"/>
                <w:sz w:val="22"/>
                <w:szCs w:val="22"/>
              </w:rPr>
              <w:t>311</w:t>
            </w:r>
          </w:p>
        </w:tc>
        <w:tc>
          <w:tcPr>
            <w:tcW w:w="960" w:type="dxa"/>
            <w:tcBorders>
              <w:top w:val="nil"/>
              <w:left w:val="nil"/>
              <w:bottom w:val="nil"/>
              <w:right w:val="single" w:sz="4" w:space="0" w:color="auto"/>
            </w:tcBorders>
            <w:shd w:val="clear" w:color="auto" w:fill="auto"/>
            <w:noWrap/>
            <w:vAlign w:val="bottom"/>
            <w:hideMark/>
          </w:tcPr>
          <w:p w:rsidR="002132E2" w:rsidRDefault="002132E2">
            <w:pPr>
              <w:jc w:val="right"/>
              <w:rPr>
                <w:rFonts w:ascii="Calibri" w:hAnsi="Calibri"/>
                <w:color w:val="000000"/>
                <w:sz w:val="22"/>
                <w:szCs w:val="22"/>
              </w:rPr>
            </w:pPr>
            <w:r>
              <w:rPr>
                <w:rFonts w:ascii="Calibri" w:hAnsi="Calibri"/>
                <w:color w:val="000000"/>
                <w:sz w:val="22"/>
                <w:szCs w:val="22"/>
              </w:rPr>
              <w:t>4.4</w:t>
            </w:r>
          </w:p>
        </w:tc>
        <w:tc>
          <w:tcPr>
            <w:tcW w:w="960" w:type="dxa"/>
            <w:tcBorders>
              <w:top w:val="nil"/>
              <w:left w:val="nil"/>
              <w:bottom w:val="nil"/>
              <w:right w:val="single" w:sz="4" w:space="0" w:color="auto"/>
            </w:tcBorders>
            <w:shd w:val="clear" w:color="auto" w:fill="auto"/>
            <w:noWrap/>
            <w:vAlign w:val="bottom"/>
            <w:hideMark/>
          </w:tcPr>
          <w:p w:rsidR="002132E2" w:rsidRDefault="002132E2">
            <w:pPr>
              <w:jc w:val="right"/>
              <w:rPr>
                <w:rFonts w:ascii="Calibri" w:hAnsi="Calibri"/>
                <w:color w:val="000000"/>
                <w:sz w:val="22"/>
                <w:szCs w:val="22"/>
              </w:rPr>
            </w:pPr>
            <w:r>
              <w:rPr>
                <w:rFonts w:ascii="Calibri" w:hAnsi="Calibri"/>
                <w:color w:val="000000"/>
                <w:sz w:val="22"/>
                <w:szCs w:val="22"/>
              </w:rPr>
              <w:t>378</w:t>
            </w:r>
          </w:p>
        </w:tc>
        <w:tc>
          <w:tcPr>
            <w:tcW w:w="960" w:type="dxa"/>
            <w:tcBorders>
              <w:top w:val="nil"/>
              <w:left w:val="nil"/>
              <w:bottom w:val="nil"/>
              <w:right w:val="single" w:sz="4" w:space="0" w:color="auto"/>
            </w:tcBorders>
            <w:shd w:val="clear" w:color="auto" w:fill="auto"/>
            <w:noWrap/>
            <w:vAlign w:val="bottom"/>
            <w:hideMark/>
          </w:tcPr>
          <w:p w:rsidR="002132E2" w:rsidRDefault="002132E2">
            <w:pPr>
              <w:jc w:val="right"/>
              <w:rPr>
                <w:rFonts w:ascii="Calibri" w:hAnsi="Calibri"/>
                <w:color w:val="000000"/>
                <w:sz w:val="22"/>
                <w:szCs w:val="22"/>
              </w:rPr>
            </w:pPr>
            <w:r>
              <w:rPr>
                <w:rFonts w:ascii="Calibri" w:hAnsi="Calibri"/>
                <w:color w:val="000000"/>
                <w:sz w:val="22"/>
                <w:szCs w:val="22"/>
              </w:rPr>
              <w:t>5.3</w:t>
            </w:r>
          </w:p>
        </w:tc>
      </w:tr>
      <w:tr w:rsidR="002132E2" w:rsidTr="002132E2">
        <w:trPr>
          <w:trHeight w:val="300"/>
          <w:jc w:val="center"/>
        </w:trPr>
        <w:tc>
          <w:tcPr>
            <w:tcW w:w="2480" w:type="dxa"/>
            <w:tcBorders>
              <w:top w:val="nil"/>
              <w:left w:val="single" w:sz="4" w:space="0" w:color="auto"/>
              <w:bottom w:val="nil"/>
              <w:right w:val="single" w:sz="4" w:space="0" w:color="auto"/>
            </w:tcBorders>
            <w:shd w:val="clear" w:color="auto" w:fill="auto"/>
            <w:noWrap/>
            <w:vAlign w:val="bottom"/>
            <w:hideMark/>
          </w:tcPr>
          <w:p w:rsidR="002132E2" w:rsidRDefault="002132E2">
            <w:pPr>
              <w:rPr>
                <w:rFonts w:ascii="Calibri" w:hAnsi="Calibri"/>
                <w:color w:val="000000"/>
                <w:sz w:val="22"/>
                <w:szCs w:val="22"/>
              </w:rPr>
            </w:pPr>
            <w:r>
              <w:rPr>
                <w:rFonts w:ascii="Calibri" w:hAnsi="Calibri"/>
                <w:color w:val="000000"/>
                <w:sz w:val="22"/>
                <w:szCs w:val="22"/>
              </w:rPr>
              <w:t>Other reason</w:t>
            </w:r>
          </w:p>
        </w:tc>
        <w:tc>
          <w:tcPr>
            <w:tcW w:w="1020" w:type="dxa"/>
            <w:tcBorders>
              <w:top w:val="nil"/>
              <w:left w:val="nil"/>
              <w:bottom w:val="nil"/>
              <w:right w:val="single" w:sz="4" w:space="0" w:color="auto"/>
            </w:tcBorders>
            <w:shd w:val="clear" w:color="auto" w:fill="auto"/>
            <w:noWrap/>
            <w:vAlign w:val="bottom"/>
            <w:hideMark/>
          </w:tcPr>
          <w:p w:rsidR="002132E2" w:rsidRDefault="002132E2">
            <w:pPr>
              <w:jc w:val="right"/>
              <w:rPr>
                <w:rFonts w:ascii="Calibri" w:hAnsi="Calibri"/>
                <w:color w:val="000000"/>
                <w:sz w:val="22"/>
                <w:szCs w:val="22"/>
              </w:rPr>
            </w:pPr>
            <w:r>
              <w:rPr>
                <w:rFonts w:ascii="Calibri" w:hAnsi="Calibri"/>
                <w:color w:val="000000"/>
                <w:sz w:val="22"/>
                <w:szCs w:val="22"/>
              </w:rPr>
              <w:t>819</w:t>
            </w:r>
          </w:p>
        </w:tc>
        <w:tc>
          <w:tcPr>
            <w:tcW w:w="960" w:type="dxa"/>
            <w:tcBorders>
              <w:top w:val="nil"/>
              <w:left w:val="nil"/>
              <w:bottom w:val="nil"/>
              <w:right w:val="single" w:sz="4" w:space="0" w:color="auto"/>
            </w:tcBorders>
            <w:shd w:val="clear" w:color="auto" w:fill="auto"/>
            <w:noWrap/>
            <w:vAlign w:val="bottom"/>
            <w:hideMark/>
          </w:tcPr>
          <w:p w:rsidR="002132E2" w:rsidRDefault="002132E2">
            <w:pPr>
              <w:jc w:val="right"/>
              <w:rPr>
                <w:rFonts w:ascii="Calibri" w:hAnsi="Calibri"/>
                <w:color w:val="000000"/>
                <w:sz w:val="22"/>
                <w:szCs w:val="22"/>
              </w:rPr>
            </w:pPr>
            <w:r>
              <w:rPr>
                <w:rFonts w:ascii="Calibri" w:hAnsi="Calibri"/>
                <w:color w:val="000000"/>
                <w:sz w:val="22"/>
                <w:szCs w:val="22"/>
              </w:rPr>
              <w:t>11.6</w:t>
            </w:r>
          </w:p>
        </w:tc>
        <w:tc>
          <w:tcPr>
            <w:tcW w:w="960" w:type="dxa"/>
            <w:tcBorders>
              <w:top w:val="nil"/>
              <w:left w:val="nil"/>
              <w:bottom w:val="single" w:sz="4" w:space="0" w:color="auto"/>
              <w:right w:val="single" w:sz="4" w:space="0" w:color="auto"/>
            </w:tcBorders>
            <w:shd w:val="clear" w:color="auto" w:fill="auto"/>
            <w:noWrap/>
            <w:vAlign w:val="bottom"/>
            <w:hideMark/>
          </w:tcPr>
          <w:p w:rsidR="002132E2" w:rsidRDefault="002132E2">
            <w:pPr>
              <w:jc w:val="right"/>
              <w:rPr>
                <w:rFonts w:ascii="Calibri" w:hAnsi="Calibri"/>
                <w:color w:val="000000"/>
                <w:sz w:val="22"/>
                <w:szCs w:val="22"/>
              </w:rPr>
            </w:pPr>
            <w:r>
              <w:rPr>
                <w:rFonts w:ascii="Calibri" w:hAnsi="Calibri"/>
                <w:color w:val="000000"/>
                <w:sz w:val="22"/>
                <w:szCs w:val="22"/>
              </w:rPr>
              <w:t>511</w:t>
            </w:r>
          </w:p>
        </w:tc>
        <w:tc>
          <w:tcPr>
            <w:tcW w:w="960" w:type="dxa"/>
            <w:tcBorders>
              <w:top w:val="nil"/>
              <w:left w:val="nil"/>
              <w:bottom w:val="single" w:sz="4" w:space="0" w:color="auto"/>
              <w:right w:val="single" w:sz="4" w:space="0" w:color="auto"/>
            </w:tcBorders>
            <w:shd w:val="clear" w:color="auto" w:fill="auto"/>
            <w:noWrap/>
            <w:vAlign w:val="bottom"/>
            <w:hideMark/>
          </w:tcPr>
          <w:p w:rsidR="002132E2" w:rsidRDefault="002132E2">
            <w:pPr>
              <w:jc w:val="right"/>
              <w:rPr>
                <w:rFonts w:ascii="Calibri" w:hAnsi="Calibri"/>
                <w:color w:val="000000"/>
                <w:sz w:val="22"/>
                <w:szCs w:val="22"/>
              </w:rPr>
            </w:pPr>
            <w:r>
              <w:rPr>
                <w:rFonts w:ascii="Calibri" w:hAnsi="Calibri"/>
                <w:color w:val="000000"/>
                <w:sz w:val="22"/>
                <w:szCs w:val="22"/>
              </w:rPr>
              <w:t>7.2</w:t>
            </w:r>
          </w:p>
        </w:tc>
      </w:tr>
      <w:tr w:rsidR="002132E2" w:rsidTr="002132E2">
        <w:trPr>
          <w:trHeight w:val="1005"/>
          <w:jc w:val="center"/>
        </w:trPr>
        <w:tc>
          <w:tcPr>
            <w:tcW w:w="6380" w:type="dxa"/>
            <w:gridSpan w:val="5"/>
            <w:tcBorders>
              <w:top w:val="single" w:sz="4" w:space="0" w:color="auto"/>
              <w:left w:val="nil"/>
              <w:bottom w:val="nil"/>
              <w:right w:val="nil"/>
            </w:tcBorders>
            <w:shd w:val="clear" w:color="auto" w:fill="auto"/>
            <w:vAlign w:val="bottom"/>
            <w:hideMark/>
          </w:tcPr>
          <w:p w:rsidR="002132E2" w:rsidRDefault="002132E2">
            <w:pPr>
              <w:rPr>
                <w:rFonts w:ascii="Calibri" w:hAnsi="Calibri"/>
                <w:color w:val="000000"/>
                <w:sz w:val="22"/>
                <w:szCs w:val="22"/>
              </w:rPr>
            </w:pPr>
            <w:r>
              <w:rPr>
                <w:rFonts w:ascii="Calibri" w:hAnsi="Calibri"/>
                <w:color w:val="000000"/>
                <w:sz w:val="22"/>
                <w:szCs w:val="22"/>
              </w:rPr>
              <w:t>1/ People who moved with the household and had the same reason for moving are excluded. Movers who did not provide a reason for move are also excluded.</w:t>
            </w:r>
          </w:p>
        </w:tc>
      </w:tr>
      <w:tr w:rsidR="002132E2" w:rsidTr="002132E2">
        <w:trPr>
          <w:trHeight w:val="900"/>
          <w:jc w:val="center"/>
        </w:trPr>
        <w:tc>
          <w:tcPr>
            <w:tcW w:w="6380" w:type="dxa"/>
            <w:gridSpan w:val="5"/>
            <w:tcBorders>
              <w:top w:val="nil"/>
              <w:left w:val="nil"/>
              <w:bottom w:val="nil"/>
              <w:right w:val="nil"/>
            </w:tcBorders>
            <w:shd w:val="clear" w:color="auto" w:fill="auto"/>
            <w:vAlign w:val="bottom"/>
            <w:hideMark/>
          </w:tcPr>
          <w:p w:rsidR="002132E2" w:rsidRDefault="002132E2">
            <w:pPr>
              <w:rPr>
                <w:rFonts w:ascii="Calibri" w:hAnsi="Calibri"/>
                <w:color w:val="000000"/>
                <w:sz w:val="22"/>
                <w:szCs w:val="22"/>
              </w:rPr>
            </w:pPr>
            <w:r>
              <w:rPr>
                <w:rFonts w:ascii="Calibri" w:hAnsi="Calibri"/>
                <w:color w:val="000000"/>
                <w:sz w:val="22"/>
                <w:szCs w:val="22"/>
              </w:rPr>
              <w:t xml:space="preserve">2/ Write-in responses can be recoded from one "other" category into a different "other" category. For instance, an "other housing" reason could be recoded to "other reason". </w:t>
            </w:r>
          </w:p>
        </w:tc>
      </w:tr>
      <w:tr w:rsidR="002132E2" w:rsidTr="002132E2">
        <w:trPr>
          <w:trHeight w:val="870"/>
          <w:jc w:val="center"/>
        </w:trPr>
        <w:tc>
          <w:tcPr>
            <w:tcW w:w="6380" w:type="dxa"/>
            <w:gridSpan w:val="5"/>
            <w:tcBorders>
              <w:top w:val="nil"/>
              <w:left w:val="nil"/>
              <w:bottom w:val="nil"/>
              <w:right w:val="nil"/>
            </w:tcBorders>
            <w:shd w:val="clear" w:color="auto" w:fill="auto"/>
            <w:vAlign w:val="bottom"/>
            <w:hideMark/>
          </w:tcPr>
          <w:p w:rsidR="002132E2" w:rsidRDefault="002132E2">
            <w:pPr>
              <w:rPr>
                <w:rFonts w:ascii="Calibri" w:hAnsi="Calibri"/>
                <w:color w:val="000000"/>
                <w:sz w:val="22"/>
                <w:szCs w:val="22"/>
              </w:rPr>
            </w:pPr>
            <w:r>
              <w:rPr>
                <w:rFonts w:ascii="Calibri" w:hAnsi="Calibri"/>
                <w:color w:val="000000"/>
                <w:sz w:val="22"/>
                <w:szCs w:val="22"/>
              </w:rPr>
              <w:t xml:space="preserve">Source: U.S. Census Bureau, Current Population Survey, Annual Social and Economic Supplement, 2016. </w:t>
            </w:r>
          </w:p>
        </w:tc>
      </w:tr>
    </w:tbl>
    <w:p w:rsidR="00EE6D36" w:rsidRDefault="00EE6D36" w:rsidP="00437538">
      <w:pPr>
        <w:jc w:val="right"/>
      </w:pPr>
    </w:p>
    <w:p w:rsidR="00EE6D36" w:rsidRDefault="00EE6D36" w:rsidP="00EE6D36">
      <w:pPr>
        <w:jc w:val="center"/>
      </w:pPr>
    </w:p>
    <w:p w:rsidR="00EE6D36" w:rsidRDefault="00EE6D36" w:rsidP="00EE6D36">
      <w:pPr>
        <w:jc w:val="center"/>
      </w:pPr>
    </w:p>
    <w:p w:rsidR="00EE6D36" w:rsidRDefault="00EE6D36" w:rsidP="00EE6D36">
      <w:pPr>
        <w:jc w:val="center"/>
      </w:pPr>
    </w:p>
    <w:p w:rsidR="00EE6D36" w:rsidRDefault="00EE6D36" w:rsidP="00EE6D36">
      <w:pPr>
        <w:jc w:val="center"/>
      </w:pPr>
    </w:p>
    <w:p w:rsidR="00EE6D36" w:rsidRDefault="00EE6D36" w:rsidP="00EE6D36">
      <w:pPr>
        <w:jc w:val="center"/>
      </w:pPr>
    </w:p>
    <w:p w:rsidR="00EE6D36" w:rsidRDefault="00EE6D36" w:rsidP="00EE6D36">
      <w:pPr>
        <w:jc w:val="center"/>
      </w:pPr>
    </w:p>
    <w:p w:rsidR="00EE6D36" w:rsidRDefault="00EE6D36" w:rsidP="00EE6D36"/>
    <w:p w:rsidR="00F01637" w:rsidRDefault="00F01637" w:rsidP="00EE6D36"/>
    <w:p w:rsidR="00F01637" w:rsidRDefault="00F01637" w:rsidP="00EE6D36"/>
    <w:p w:rsidR="00F01637" w:rsidRDefault="00F01637" w:rsidP="00EE6D36"/>
    <w:p w:rsidR="00F01637" w:rsidRDefault="00F01637" w:rsidP="00EE6D36"/>
    <w:p w:rsidR="00F01637" w:rsidRDefault="00F01637" w:rsidP="00EE6D36">
      <w:pPr>
        <w:sectPr w:rsidR="00F01637" w:rsidSect="00EE6D36">
          <w:pgSz w:w="12240" w:h="15840" w:code="1"/>
          <w:pgMar w:top="1440" w:right="1440" w:bottom="1440" w:left="1440" w:header="720" w:footer="720" w:gutter="0"/>
          <w:cols w:space="720"/>
          <w:titlePg/>
          <w:docGrid w:linePitch="360"/>
        </w:sectPr>
      </w:pPr>
    </w:p>
    <w:tbl>
      <w:tblPr>
        <w:tblW w:w="12260" w:type="dxa"/>
        <w:tblInd w:w="93" w:type="dxa"/>
        <w:tblLook w:val="04A0" w:firstRow="1" w:lastRow="0" w:firstColumn="1" w:lastColumn="0" w:noHBand="0" w:noVBand="1"/>
      </w:tblPr>
      <w:tblGrid>
        <w:gridCol w:w="3820"/>
        <w:gridCol w:w="1980"/>
        <w:gridCol w:w="3200"/>
        <w:gridCol w:w="3260"/>
      </w:tblGrid>
      <w:tr w:rsidR="00EE6D36" w:rsidRPr="000E06D6" w:rsidTr="00EE6D36">
        <w:trPr>
          <w:trHeight w:val="495"/>
        </w:trPr>
        <w:tc>
          <w:tcPr>
            <w:tcW w:w="12260" w:type="dxa"/>
            <w:gridSpan w:val="4"/>
            <w:tcBorders>
              <w:top w:val="nil"/>
              <w:left w:val="nil"/>
              <w:bottom w:val="single" w:sz="4" w:space="0" w:color="auto"/>
              <w:right w:val="nil"/>
            </w:tcBorders>
            <w:shd w:val="clear" w:color="auto" w:fill="auto"/>
            <w:noWrap/>
            <w:vAlign w:val="bottom"/>
            <w:hideMark/>
          </w:tcPr>
          <w:p w:rsidR="0013163C" w:rsidRDefault="0013163C" w:rsidP="00EE6D36">
            <w:pPr>
              <w:rPr>
                <w:rFonts w:ascii="Calibri" w:hAnsi="Calibri"/>
                <w:color w:val="000000"/>
              </w:rPr>
            </w:pPr>
          </w:p>
          <w:p w:rsidR="0013163C" w:rsidRDefault="0013163C" w:rsidP="00EE6D36">
            <w:pPr>
              <w:rPr>
                <w:rFonts w:ascii="Calibri" w:hAnsi="Calibri"/>
                <w:color w:val="000000"/>
              </w:rPr>
            </w:pPr>
          </w:p>
          <w:p w:rsidR="0013163C" w:rsidRDefault="0013163C" w:rsidP="00EE6D36">
            <w:pPr>
              <w:rPr>
                <w:rFonts w:ascii="Calibri" w:hAnsi="Calibri"/>
                <w:color w:val="000000"/>
              </w:rPr>
            </w:pPr>
          </w:p>
          <w:p w:rsidR="0013163C" w:rsidRDefault="0013163C" w:rsidP="00EE6D36">
            <w:pPr>
              <w:rPr>
                <w:rFonts w:ascii="Calibri" w:hAnsi="Calibri"/>
                <w:color w:val="000000"/>
              </w:rPr>
            </w:pPr>
          </w:p>
          <w:p w:rsidR="0013163C" w:rsidRDefault="0013163C" w:rsidP="00EE6D36">
            <w:pPr>
              <w:rPr>
                <w:rFonts w:ascii="Calibri" w:hAnsi="Calibri"/>
                <w:color w:val="000000"/>
              </w:rPr>
            </w:pPr>
          </w:p>
          <w:p w:rsidR="0013163C" w:rsidRDefault="0013163C" w:rsidP="00EE6D36">
            <w:pPr>
              <w:rPr>
                <w:rFonts w:ascii="Calibri" w:hAnsi="Calibri"/>
                <w:color w:val="000000"/>
              </w:rPr>
            </w:pPr>
          </w:p>
          <w:p w:rsidR="0013163C" w:rsidRDefault="0013163C" w:rsidP="00EE6D36">
            <w:pPr>
              <w:rPr>
                <w:rFonts w:ascii="Calibri" w:hAnsi="Calibri"/>
                <w:color w:val="000000"/>
              </w:rPr>
            </w:pPr>
          </w:p>
          <w:p w:rsidR="00EE6D36" w:rsidRPr="000E06D6" w:rsidRDefault="00EE6D36" w:rsidP="00EE6D36">
            <w:pPr>
              <w:rPr>
                <w:rFonts w:ascii="Calibri" w:hAnsi="Calibri"/>
                <w:color w:val="000000"/>
              </w:rPr>
            </w:pPr>
            <w:r w:rsidRPr="000E06D6">
              <w:rPr>
                <w:rFonts w:ascii="Calibri" w:hAnsi="Calibri"/>
                <w:color w:val="000000"/>
              </w:rPr>
              <w:t>Table 3. Common Write-In Responses for Other Family, Other Job-related, Other Housing, and Other Reasons: 2016 ASEC</w:t>
            </w:r>
          </w:p>
        </w:tc>
      </w:tr>
      <w:tr w:rsidR="00EE6D36" w:rsidRPr="000E06D6" w:rsidTr="00EE6D36">
        <w:trPr>
          <w:trHeight w:val="525"/>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EE6D36" w:rsidRPr="000E06D6" w:rsidRDefault="00EE6D36" w:rsidP="00EE6D36">
            <w:pPr>
              <w:jc w:val="center"/>
              <w:rPr>
                <w:rFonts w:ascii="Calibri" w:hAnsi="Calibri"/>
                <w:color w:val="000000"/>
              </w:rPr>
            </w:pPr>
            <w:r w:rsidRPr="000E06D6">
              <w:rPr>
                <w:rFonts w:ascii="Calibri" w:hAnsi="Calibri"/>
                <w:color w:val="000000"/>
              </w:rPr>
              <w:t>Other Family</w:t>
            </w:r>
          </w:p>
        </w:tc>
        <w:tc>
          <w:tcPr>
            <w:tcW w:w="1980" w:type="dxa"/>
            <w:tcBorders>
              <w:top w:val="nil"/>
              <w:left w:val="nil"/>
              <w:bottom w:val="single" w:sz="4" w:space="0" w:color="auto"/>
              <w:right w:val="single" w:sz="4" w:space="0" w:color="auto"/>
            </w:tcBorders>
            <w:shd w:val="clear" w:color="auto" w:fill="auto"/>
            <w:noWrap/>
            <w:vAlign w:val="center"/>
            <w:hideMark/>
          </w:tcPr>
          <w:p w:rsidR="00EE6D36" w:rsidRPr="000E06D6" w:rsidRDefault="00EE6D36" w:rsidP="00EE6D36">
            <w:pPr>
              <w:jc w:val="center"/>
              <w:rPr>
                <w:rFonts w:ascii="Calibri" w:hAnsi="Calibri"/>
                <w:color w:val="000000"/>
              </w:rPr>
            </w:pPr>
            <w:r w:rsidRPr="000E06D6">
              <w:rPr>
                <w:rFonts w:ascii="Calibri" w:hAnsi="Calibri"/>
                <w:color w:val="000000"/>
              </w:rPr>
              <w:t>Other Job-related</w:t>
            </w:r>
          </w:p>
        </w:tc>
        <w:tc>
          <w:tcPr>
            <w:tcW w:w="3200" w:type="dxa"/>
            <w:tcBorders>
              <w:top w:val="nil"/>
              <w:left w:val="nil"/>
              <w:bottom w:val="single" w:sz="4" w:space="0" w:color="auto"/>
              <w:right w:val="single" w:sz="4" w:space="0" w:color="auto"/>
            </w:tcBorders>
            <w:shd w:val="clear" w:color="auto" w:fill="auto"/>
            <w:noWrap/>
            <w:vAlign w:val="center"/>
            <w:hideMark/>
          </w:tcPr>
          <w:p w:rsidR="00EE6D36" w:rsidRPr="000E06D6" w:rsidRDefault="00EE6D36" w:rsidP="00EE6D36">
            <w:pPr>
              <w:jc w:val="center"/>
              <w:rPr>
                <w:rFonts w:ascii="Calibri" w:hAnsi="Calibri"/>
                <w:color w:val="000000"/>
              </w:rPr>
            </w:pPr>
            <w:r w:rsidRPr="000E06D6">
              <w:rPr>
                <w:rFonts w:ascii="Calibri" w:hAnsi="Calibri"/>
                <w:color w:val="000000"/>
              </w:rPr>
              <w:t>Other Housing</w:t>
            </w:r>
          </w:p>
        </w:tc>
        <w:tc>
          <w:tcPr>
            <w:tcW w:w="3260" w:type="dxa"/>
            <w:tcBorders>
              <w:top w:val="nil"/>
              <w:left w:val="nil"/>
              <w:bottom w:val="single" w:sz="4" w:space="0" w:color="auto"/>
              <w:right w:val="single" w:sz="4" w:space="0" w:color="auto"/>
            </w:tcBorders>
            <w:shd w:val="clear" w:color="auto" w:fill="auto"/>
            <w:noWrap/>
            <w:vAlign w:val="center"/>
            <w:hideMark/>
          </w:tcPr>
          <w:p w:rsidR="00EE6D36" w:rsidRPr="000E06D6" w:rsidRDefault="00EE6D36" w:rsidP="00EE6D36">
            <w:pPr>
              <w:jc w:val="center"/>
              <w:rPr>
                <w:rFonts w:ascii="Calibri" w:hAnsi="Calibri"/>
                <w:color w:val="000000"/>
              </w:rPr>
            </w:pPr>
            <w:r>
              <w:rPr>
                <w:rFonts w:ascii="Calibri" w:hAnsi="Calibri"/>
                <w:color w:val="000000"/>
              </w:rPr>
              <w:t>Other Reason</w:t>
            </w:r>
          </w:p>
        </w:tc>
      </w:tr>
      <w:tr w:rsidR="00EE6D36" w:rsidRPr="000E06D6" w:rsidTr="00EE6D36">
        <w:trPr>
          <w:trHeight w:val="1020"/>
        </w:trPr>
        <w:tc>
          <w:tcPr>
            <w:tcW w:w="3820" w:type="dxa"/>
            <w:tcBorders>
              <w:top w:val="nil"/>
              <w:left w:val="single" w:sz="4" w:space="0" w:color="auto"/>
              <w:bottom w:val="nil"/>
              <w:right w:val="single" w:sz="4" w:space="0" w:color="auto"/>
            </w:tcBorders>
            <w:shd w:val="clear" w:color="auto" w:fill="auto"/>
            <w:hideMark/>
          </w:tcPr>
          <w:p w:rsidR="00EE6D36" w:rsidRPr="000E06D6" w:rsidRDefault="00EE6D36" w:rsidP="00EE6D36">
            <w:pPr>
              <w:rPr>
                <w:rFonts w:ascii="Calibri" w:hAnsi="Calibri"/>
                <w:color w:val="000000"/>
              </w:rPr>
            </w:pPr>
            <w:r w:rsidRPr="000E06D6">
              <w:rPr>
                <w:rFonts w:ascii="Calibri" w:hAnsi="Calibri"/>
                <w:color w:val="000000"/>
              </w:rPr>
              <w:t>Moved with family member(s)</w:t>
            </w:r>
          </w:p>
        </w:tc>
        <w:tc>
          <w:tcPr>
            <w:tcW w:w="1980" w:type="dxa"/>
            <w:tcBorders>
              <w:top w:val="nil"/>
              <w:left w:val="nil"/>
              <w:bottom w:val="nil"/>
              <w:right w:val="single" w:sz="4" w:space="0" w:color="auto"/>
            </w:tcBorders>
            <w:shd w:val="clear" w:color="auto" w:fill="auto"/>
            <w:hideMark/>
          </w:tcPr>
          <w:p w:rsidR="00EE6D36" w:rsidRPr="000E06D6" w:rsidRDefault="00EE6D36" w:rsidP="00EE6D36">
            <w:pPr>
              <w:rPr>
                <w:rFonts w:ascii="Calibri" w:hAnsi="Calibri"/>
                <w:color w:val="000000"/>
              </w:rPr>
            </w:pPr>
            <w:r w:rsidRPr="000E06D6">
              <w:rPr>
                <w:rFonts w:ascii="Calibri" w:hAnsi="Calibri"/>
                <w:color w:val="000000"/>
              </w:rPr>
              <w:t>Job</w:t>
            </w:r>
          </w:p>
        </w:tc>
        <w:tc>
          <w:tcPr>
            <w:tcW w:w="3200" w:type="dxa"/>
            <w:tcBorders>
              <w:top w:val="nil"/>
              <w:left w:val="nil"/>
              <w:bottom w:val="nil"/>
              <w:right w:val="single" w:sz="4" w:space="0" w:color="auto"/>
            </w:tcBorders>
            <w:shd w:val="clear" w:color="auto" w:fill="auto"/>
            <w:hideMark/>
          </w:tcPr>
          <w:p w:rsidR="00EE6D36" w:rsidRPr="000E06D6" w:rsidRDefault="00EE6D36" w:rsidP="00EE6D36">
            <w:pPr>
              <w:rPr>
                <w:rFonts w:ascii="Calibri" w:hAnsi="Calibri"/>
                <w:color w:val="000000"/>
              </w:rPr>
            </w:pPr>
            <w:r w:rsidRPr="000E06D6">
              <w:rPr>
                <w:rFonts w:ascii="Calibri" w:hAnsi="Calibri"/>
                <w:color w:val="000000"/>
              </w:rPr>
              <w:t>Lease ended</w:t>
            </w:r>
          </w:p>
        </w:tc>
        <w:tc>
          <w:tcPr>
            <w:tcW w:w="3260" w:type="dxa"/>
            <w:tcBorders>
              <w:top w:val="nil"/>
              <w:left w:val="nil"/>
              <w:bottom w:val="nil"/>
              <w:right w:val="single" w:sz="4" w:space="0" w:color="auto"/>
            </w:tcBorders>
            <w:shd w:val="clear" w:color="auto" w:fill="auto"/>
            <w:hideMark/>
          </w:tcPr>
          <w:p w:rsidR="00EE6D36" w:rsidRPr="000E06D6" w:rsidRDefault="00EE6D36" w:rsidP="00EE6D36">
            <w:pPr>
              <w:rPr>
                <w:rFonts w:ascii="Calibri" w:hAnsi="Calibri"/>
                <w:color w:val="000000"/>
              </w:rPr>
            </w:pPr>
            <w:r w:rsidRPr="000E06D6">
              <w:rPr>
                <w:rFonts w:ascii="Calibri" w:hAnsi="Calibri"/>
                <w:color w:val="000000"/>
              </w:rPr>
              <w:t xml:space="preserve">To live with nonfamily members (includes roommates and  </w:t>
            </w:r>
            <w:proofErr w:type="spellStart"/>
            <w:r w:rsidRPr="000E06D6">
              <w:rPr>
                <w:rFonts w:ascii="Calibri" w:hAnsi="Calibri"/>
                <w:color w:val="000000"/>
              </w:rPr>
              <w:t>cohabitors</w:t>
            </w:r>
            <w:proofErr w:type="spellEnd"/>
            <w:r w:rsidRPr="000E06D6">
              <w:rPr>
                <w:rFonts w:ascii="Calibri" w:hAnsi="Calibri"/>
                <w:color w:val="000000"/>
              </w:rPr>
              <w:t>)</w:t>
            </w:r>
          </w:p>
        </w:tc>
      </w:tr>
      <w:tr w:rsidR="00EE6D36" w:rsidRPr="000E06D6" w:rsidTr="00EE6D36">
        <w:trPr>
          <w:trHeight w:val="585"/>
        </w:trPr>
        <w:tc>
          <w:tcPr>
            <w:tcW w:w="3820" w:type="dxa"/>
            <w:tcBorders>
              <w:top w:val="nil"/>
              <w:left w:val="single" w:sz="4" w:space="0" w:color="auto"/>
              <w:bottom w:val="nil"/>
              <w:right w:val="single" w:sz="4" w:space="0" w:color="auto"/>
            </w:tcBorders>
            <w:shd w:val="clear" w:color="auto" w:fill="auto"/>
            <w:hideMark/>
          </w:tcPr>
          <w:p w:rsidR="00EE6D36" w:rsidRPr="000E06D6" w:rsidRDefault="00EE6D36" w:rsidP="00EE6D36">
            <w:pPr>
              <w:rPr>
                <w:rFonts w:ascii="Calibri" w:hAnsi="Calibri"/>
                <w:color w:val="000000"/>
              </w:rPr>
            </w:pPr>
            <w:r w:rsidRPr="000E06D6">
              <w:rPr>
                <w:rFonts w:ascii="Calibri" w:hAnsi="Calibri"/>
                <w:color w:val="000000"/>
              </w:rPr>
              <w:t>Pregnant/had a baby/adoption</w:t>
            </w:r>
          </w:p>
        </w:tc>
        <w:tc>
          <w:tcPr>
            <w:tcW w:w="1980" w:type="dxa"/>
            <w:tcBorders>
              <w:top w:val="nil"/>
              <w:left w:val="nil"/>
              <w:bottom w:val="nil"/>
              <w:right w:val="single" w:sz="4" w:space="0" w:color="auto"/>
            </w:tcBorders>
            <w:shd w:val="clear" w:color="auto" w:fill="auto"/>
            <w:hideMark/>
          </w:tcPr>
          <w:p w:rsidR="00EE6D36" w:rsidRPr="000E06D6" w:rsidRDefault="00EE6D36" w:rsidP="00EE6D36">
            <w:pPr>
              <w:rPr>
                <w:rFonts w:ascii="Calibri" w:hAnsi="Calibri"/>
                <w:color w:val="000000"/>
              </w:rPr>
            </w:pPr>
            <w:r w:rsidRPr="000E06D6">
              <w:rPr>
                <w:rFonts w:ascii="Calibri" w:hAnsi="Calibri"/>
                <w:color w:val="000000"/>
              </w:rPr>
              <w:t> </w:t>
            </w:r>
          </w:p>
        </w:tc>
        <w:tc>
          <w:tcPr>
            <w:tcW w:w="3200" w:type="dxa"/>
            <w:tcBorders>
              <w:top w:val="nil"/>
              <w:left w:val="nil"/>
              <w:bottom w:val="nil"/>
              <w:right w:val="single" w:sz="4" w:space="0" w:color="auto"/>
            </w:tcBorders>
            <w:shd w:val="clear" w:color="auto" w:fill="auto"/>
            <w:hideMark/>
          </w:tcPr>
          <w:p w:rsidR="00EE6D36" w:rsidRPr="000E06D6" w:rsidRDefault="00EE6D36" w:rsidP="00EE6D36">
            <w:pPr>
              <w:rPr>
                <w:rFonts w:ascii="Calibri" w:hAnsi="Calibri"/>
                <w:color w:val="000000"/>
              </w:rPr>
            </w:pPr>
            <w:r w:rsidRPr="000E06D6">
              <w:rPr>
                <w:rFonts w:ascii="Calibri" w:hAnsi="Calibri"/>
                <w:color w:val="000000"/>
              </w:rPr>
              <w:t>Landlord issues</w:t>
            </w:r>
          </w:p>
        </w:tc>
        <w:tc>
          <w:tcPr>
            <w:tcW w:w="3260" w:type="dxa"/>
            <w:tcBorders>
              <w:top w:val="nil"/>
              <w:left w:val="nil"/>
              <w:bottom w:val="nil"/>
              <w:right w:val="single" w:sz="4" w:space="0" w:color="auto"/>
            </w:tcBorders>
            <w:shd w:val="clear" w:color="auto" w:fill="auto"/>
            <w:hideMark/>
          </w:tcPr>
          <w:p w:rsidR="00EE6D36" w:rsidRPr="000E06D6" w:rsidRDefault="00EE6D36" w:rsidP="00EE6D36">
            <w:pPr>
              <w:rPr>
                <w:rFonts w:ascii="Calibri" w:hAnsi="Calibri"/>
                <w:color w:val="000000"/>
              </w:rPr>
            </w:pPr>
            <w:r w:rsidRPr="000E06D6">
              <w:rPr>
                <w:rFonts w:ascii="Calibri" w:hAnsi="Calibri"/>
                <w:color w:val="000000"/>
              </w:rPr>
              <w:t>School</w:t>
            </w:r>
          </w:p>
        </w:tc>
      </w:tr>
      <w:tr w:rsidR="00EE6D36" w:rsidRPr="000E06D6" w:rsidTr="00EE6D36">
        <w:trPr>
          <w:trHeight w:val="675"/>
        </w:trPr>
        <w:tc>
          <w:tcPr>
            <w:tcW w:w="3820" w:type="dxa"/>
            <w:tcBorders>
              <w:top w:val="nil"/>
              <w:left w:val="single" w:sz="4" w:space="0" w:color="auto"/>
              <w:bottom w:val="nil"/>
              <w:right w:val="single" w:sz="4" w:space="0" w:color="auto"/>
            </w:tcBorders>
            <w:shd w:val="clear" w:color="auto" w:fill="auto"/>
            <w:hideMark/>
          </w:tcPr>
          <w:p w:rsidR="00EE6D36" w:rsidRPr="000E06D6" w:rsidRDefault="00EE6D36" w:rsidP="00EE6D36">
            <w:pPr>
              <w:rPr>
                <w:rFonts w:ascii="Calibri" w:hAnsi="Calibri"/>
                <w:color w:val="000000"/>
              </w:rPr>
            </w:pPr>
            <w:r w:rsidRPr="000E06D6">
              <w:rPr>
                <w:rFonts w:ascii="Calibri" w:hAnsi="Calibri"/>
                <w:color w:val="000000"/>
              </w:rPr>
              <w:t>Assist or take care of family member(s)</w:t>
            </w:r>
          </w:p>
        </w:tc>
        <w:tc>
          <w:tcPr>
            <w:tcW w:w="1980" w:type="dxa"/>
            <w:tcBorders>
              <w:top w:val="nil"/>
              <w:left w:val="nil"/>
              <w:bottom w:val="nil"/>
              <w:right w:val="single" w:sz="4" w:space="0" w:color="auto"/>
            </w:tcBorders>
            <w:shd w:val="clear" w:color="auto" w:fill="auto"/>
            <w:hideMark/>
          </w:tcPr>
          <w:p w:rsidR="00EE6D36" w:rsidRPr="000E06D6" w:rsidRDefault="00EE6D36" w:rsidP="00EE6D36">
            <w:pPr>
              <w:rPr>
                <w:rFonts w:ascii="Calibri" w:hAnsi="Calibri"/>
                <w:color w:val="000000"/>
              </w:rPr>
            </w:pPr>
            <w:r w:rsidRPr="000E06D6">
              <w:rPr>
                <w:rFonts w:ascii="Calibri" w:hAnsi="Calibri"/>
                <w:color w:val="000000"/>
              </w:rPr>
              <w:t> </w:t>
            </w:r>
          </w:p>
        </w:tc>
        <w:tc>
          <w:tcPr>
            <w:tcW w:w="3200" w:type="dxa"/>
            <w:tcBorders>
              <w:top w:val="nil"/>
              <w:left w:val="nil"/>
              <w:bottom w:val="nil"/>
              <w:right w:val="single" w:sz="4" w:space="0" w:color="auto"/>
            </w:tcBorders>
            <w:shd w:val="clear" w:color="auto" w:fill="auto"/>
            <w:hideMark/>
          </w:tcPr>
          <w:p w:rsidR="00EE6D36" w:rsidRPr="000E06D6" w:rsidRDefault="00EE6D36" w:rsidP="00EE6D36">
            <w:pPr>
              <w:rPr>
                <w:rFonts w:ascii="Calibri" w:hAnsi="Calibri"/>
                <w:color w:val="000000"/>
              </w:rPr>
            </w:pPr>
            <w:r w:rsidRPr="000E06D6">
              <w:rPr>
                <w:rFonts w:ascii="Calibri" w:hAnsi="Calibri"/>
                <w:color w:val="000000"/>
              </w:rPr>
              <w:t>Downsizing/wanted smaller house or apartment</w:t>
            </w:r>
          </w:p>
        </w:tc>
        <w:tc>
          <w:tcPr>
            <w:tcW w:w="3260" w:type="dxa"/>
            <w:tcBorders>
              <w:top w:val="nil"/>
              <w:left w:val="nil"/>
              <w:bottom w:val="nil"/>
              <w:right w:val="single" w:sz="4" w:space="0" w:color="auto"/>
            </w:tcBorders>
            <w:shd w:val="clear" w:color="auto" w:fill="auto"/>
            <w:hideMark/>
          </w:tcPr>
          <w:p w:rsidR="00EE6D36" w:rsidRPr="000E06D6" w:rsidRDefault="00EE6D36" w:rsidP="00EE6D36">
            <w:pPr>
              <w:rPr>
                <w:rFonts w:ascii="Calibri" w:hAnsi="Calibri"/>
                <w:color w:val="000000"/>
              </w:rPr>
            </w:pPr>
            <w:r w:rsidRPr="000E06D6">
              <w:rPr>
                <w:rFonts w:ascii="Calibri" w:hAnsi="Calibri"/>
                <w:color w:val="000000"/>
              </w:rPr>
              <w:t>Just wanted to move</w:t>
            </w:r>
          </w:p>
        </w:tc>
      </w:tr>
      <w:tr w:rsidR="00EE6D36" w:rsidRPr="000E06D6" w:rsidTr="00EE6D36">
        <w:trPr>
          <w:trHeight w:val="750"/>
        </w:trPr>
        <w:tc>
          <w:tcPr>
            <w:tcW w:w="3820" w:type="dxa"/>
            <w:tcBorders>
              <w:top w:val="nil"/>
              <w:left w:val="single" w:sz="4" w:space="0" w:color="auto"/>
              <w:bottom w:val="nil"/>
              <w:right w:val="single" w:sz="4" w:space="0" w:color="auto"/>
            </w:tcBorders>
            <w:shd w:val="clear" w:color="auto" w:fill="auto"/>
            <w:hideMark/>
          </w:tcPr>
          <w:p w:rsidR="00EE6D36" w:rsidRPr="000E06D6" w:rsidRDefault="00EE6D36" w:rsidP="00EE6D36">
            <w:pPr>
              <w:rPr>
                <w:rFonts w:ascii="Calibri" w:hAnsi="Calibri"/>
                <w:color w:val="000000"/>
              </w:rPr>
            </w:pPr>
            <w:r w:rsidRPr="000E06D6">
              <w:rPr>
                <w:rFonts w:ascii="Calibri" w:hAnsi="Calibri"/>
                <w:color w:val="000000"/>
              </w:rPr>
              <w:t>Death of family member</w:t>
            </w:r>
          </w:p>
        </w:tc>
        <w:tc>
          <w:tcPr>
            <w:tcW w:w="1980" w:type="dxa"/>
            <w:tcBorders>
              <w:top w:val="nil"/>
              <w:left w:val="nil"/>
              <w:bottom w:val="nil"/>
              <w:right w:val="single" w:sz="4" w:space="0" w:color="auto"/>
            </w:tcBorders>
            <w:shd w:val="clear" w:color="auto" w:fill="auto"/>
            <w:hideMark/>
          </w:tcPr>
          <w:p w:rsidR="00EE6D36" w:rsidRPr="000E06D6" w:rsidRDefault="00EE6D36" w:rsidP="00EE6D36">
            <w:pPr>
              <w:rPr>
                <w:rFonts w:ascii="Calibri" w:hAnsi="Calibri"/>
                <w:color w:val="000000"/>
              </w:rPr>
            </w:pPr>
            <w:r w:rsidRPr="000E06D6">
              <w:rPr>
                <w:rFonts w:ascii="Calibri" w:hAnsi="Calibri"/>
                <w:color w:val="000000"/>
              </w:rPr>
              <w:t> </w:t>
            </w:r>
          </w:p>
        </w:tc>
        <w:tc>
          <w:tcPr>
            <w:tcW w:w="3200" w:type="dxa"/>
            <w:tcBorders>
              <w:top w:val="nil"/>
              <w:left w:val="nil"/>
              <w:bottom w:val="nil"/>
              <w:right w:val="single" w:sz="4" w:space="0" w:color="auto"/>
            </w:tcBorders>
            <w:shd w:val="clear" w:color="auto" w:fill="auto"/>
            <w:hideMark/>
          </w:tcPr>
          <w:p w:rsidR="00EE6D36" w:rsidRPr="000E06D6" w:rsidRDefault="00EE6D36" w:rsidP="00EE6D36">
            <w:pPr>
              <w:rPr>
                <w:rFonts w:ascii="Calibri" w:hAnsi="Calibri"/>
                <w:color w:val="000000"/>
              </w:rPr>
            </w:pPr>
            <w:r w:rsidRPr="000E06D6">
              <w:rPr>
                <w:rFonts w:ascii="Calibri" w:hAnsi="Calibri"/>
                <w:color w:val="000000"/>
              </w:rPr>
              <w:t>Previously homeless or incarcerated</w:t>
            </w:r>
          </w:p>
        </w:tc>
        <w:tc>
          <w:tcPr>
            <w:tcW w:w="3260" w:type="dxa"/>
            <w:tcBorders>
              <w:top w:val="nil"/>
              <w:left w:val="nil"/>
              <w:bottom w:val="nil"/>
              <w:right w:val="single" w:sz="4" w:space="0" w:color="auto"/>
            </w:tcBorders>
            <w:shd w:val="clear" w:color="auto" w:fill="auto"/>
            <w:hideMark/>
          </w:tcPr>
          <w:p w:rsidR="00EE6D36" w:rsidRPr="000E06D6" w:rsidRDefault="00EE6D36" w:rsidP="00EE6D36">
            <w:pPr>
              <w:rPr>
                <w:rFonts w:ascii="Calibri" w:hAnsi="Calibri"/>
                <w:color w:val="000000"/>
              </w:rPr>
            </w:pPr>
            <w:r w:rsidRPr="000E06D6">
              <w:rPr>
                <w:rFonts w:ascii="Calibri" w:hAnsi="Calibri"/>
                <w:color w:val="000000"/>
              </w:rPr>
              <w:t>Financial constraints</w:t>
            </w:r>
          </w:p>
        </w:tc>
      </w:tr>
      <w:tr w:rsidR="00EE6D36" w:rsidRPr="000E06D6" w:rsidTr="00EE6D36">
        <w:trPr>
          <w:trHeight w:val="495"/>
        </w:trPr>
        <w:tc>
          <w:tcPr>
            <w:tcW w:w="3820" w:type="dxa"/>
            <w:tcBorders>
              <w:top w:val="nil"/>
              <w:left w:val="single" w:sz="4" w:space="0" w:color="auto"/>
              <w:bottom w:val="single" w:sz="4" w:space="0" w:color="auto"/>
              <w:right w:val="single" w:sz="4" w:space="0" w:color="auto"/>
            </w:tcBorders>
            <w:shd w:val="clear" w:color="auto" w:fill="auto"/>
            <w:hideMark/>
          </w:tcPr>
          <w:p w:rsidR="00EE6D36" w:rsidRPr="000E06D6" w:rsidRDefault="00EE6D36" w:rsidP="00EE6D36">
            <w:pPr>
              <w:rPr>
                <w:rFonts w:ascii="Calibri" w:hAnsi="Calibri"/>
                <w:color w:val="000000"/>
              </w:rPr>
            </w:pPr>
            <w:r w:rsidRPr="000E06D6">
              <w:rPr>
                <w:rFonts w:ascii="Calibri" w:hAnsi="Calibri"/>
                <w:color w:val="000000"/>
              </w:rPr>
              <w:t>Move closer to family</w:t>
            </w:r>
          </w:p>
        </w:tc>
        <w:tc>
          <w:tcPr>
            <w:tcW w:w="1980" w:type="dxa"/>
            <w:tcBorders>
              <w:top w:val="nil"/>
              <w:left w:val="nil"/>
              <w:bottom w:val="single" w:sz="4" w:space="0" w:color="auto"/>
              <w:right w:val="single" w:sz="4" w:space="0" w:color="auto"/>
            </w:tcBorders>
            <w:shd w:val="clear" w:color="auto" w:fill="auto"/>
            <w:hideMark/>
          </w:tcPr>
          <w:p w:rsidR="00EE6D36" w:rsidRPr="000E06D6" w:rsidRDefault="00EE6D36" w:rsidP="00EE6D36">
            <w:pPr>
              <w:rPr>
                <w:rFonts w:ascii="Calibri" w:hAnsi="Calibri"/>
                <w:color w:val="000000"/>
              </w:rPr>
            </w:pPr>
            <w:r w:rsidRPr="000E06D6">
              <w:rPr>
                <w:rFonts w:ascii="Calibri" w:hAnsi="Calibri"/>
                <w:color w:val="000000"/>
              </w:rPr>
              <w:t> </w:t>
            </w:r>
          </w:p>
        </w:tc>
        <w:tc>
          <w:tcPr>
            <w:tcW w:w="3200" w:type="dxa"/>
            <w:tcBorders>
              <w:top w:val="nil"/>
              <w:left w:val="nil"/>
              <w:bottom w:val="single" w:sz="4" w:space="0" w:color="auto"/>
              <w:right w:val="single" w:sz="4" w:space="0" w:color="auto"/>
            </w:tcBorders>
            <w:shd w:val="clear" w:color="auto" w:fill="auto"/>
            <w:hideMark/>
          </w:tcPr>
          <w:p w:rsidR="00EE6D36" w:rsidRPr="000E06D6" w:rsidRDefault="00EE6D36" w:rsidP="00EE6D36">
            <w:pPr>
              <w:rPr>
                <w:rFonts w:ascii="Calibri" w:hAnsi="Calibri"/>
                <w:color w:val="000000"/>
              </w:rPr>
            </w:pPr>
            <w:r w:rsidRPr="000E06D6">
              <w:rPr>
                <w:rFonts w:ascii="Calibri" w:hAnsi="Calibri"/>
                <w:color w:val="000000"/>
              </w:rPr>
              <w:t>Sold house or apartment</w:t>
            </w:r>
          </w:p>
        </w:tc>
        <w:tc>
          <w:tcPr>
            <w:tcW w:w="3260" w:type="dxa"/>
            <w:tcBorders>
              <w:top w:val="nil"/>
              <w:left w:val="nil"/>
              <w:bottom w:val="single" w:sz="4" w:space="0" w:color="auto"/>
              <w:right w:val="single" w:sz="4" w:space="0" w:color="auto"/>
            </w:tcBorders>
            <w:shd w:val="clear" w:color="auto" w:fill="auto"/>
            <w:hideMark/>
          </w:tcPr>
          <w:p w:rsidR="00EE6D36" w:rsidRPr="000E06D6" w:rsidRDefault="00EE6D36" w:rsidP="00EE6D36">
            <w:pPr>
              <w:rPr>
                <w:rFonts w:ascii="Calibri" w:hAnsi="Calibri"/>
                <w:color w:val="000000"/>
              </w:rPr>
            </w:pPr>
            <w:r w:rsidRPr="000E06D6">
              <w:rPr>
                <w:rFonts w:ascii="Calibri" w:hAnsi="Calibri"/>
                <w:color w:val="000000"/>
              </w:rPr>
              <w:t> </w:t>
            </w:r>
          </w:p>
        </w:tc>
      </w:tr>
      <w:tr w:rsidR="00EE6D36" w:rsidRPr="000E06D6" w:rsidTr="00EE6D36">
        <w:trPr>
          <w:trHeight w:val="720"/>
        </w:trPr>
        <w:tc>
          <w:tcPr>
            <w:tcW w:w="12260" w:type="dxa"/>
            <w:gridSpan w:val="4"/>
            <w:tcBorders>
              <w:top w:val="single" w:sz="4" w:space="0" w:color="auto"/>
              <w:left w:val="nil"/>
              <w:bottom w:val="nil"/>
              <w:right w:val="nil"/>
            </w:tcBorders>
            <w:shd w:val="clear" w:color="auto" w:fill="auto"/>
            <w:vAlign w:val="bottom"/>
            <w:hideMark/>
          </w:tcPr>
          <w:p w:rsidR="00EE6D36" w:rsidRPr="000E06D6" w:rsidRDefault="00EE6D36" w:rsidP="00EE6D36">
            <w:pPr>
              <w:rPr>
                <w:rFonts w:ascii="Calibri" w:hAnsi="Calibri"/>
                <w:color w:val="000000"/>
              </w:rPr>
            </w:pPr>
            <w:r w:rsidRPr="000E06D6">
              <w:rPr>
                <w:rFonts w:ascii="Calibri" w:hAnsi="Calibri"/>
                <w:color w:val="000000"/>
              </w:rPr>
              <w:t xml:space="preserve">Note: These write-in responses represent a few of the more common write-in responses for each category. They are not in any particular order. Common write-in responses from 2016 may differ from other years. </w:t>
            </w:r>
          </w:p>
        </w:tc>
      </w:tr>
      <w:tr w:rsidR="00EE6D36" w:rsidRPr="000E06D6" w:rsidTr="00EE6D36">
        <w:trPr>
          <w:trHeight w:val="300"/>
        </w:trPr>
        <w:tc>
          <w:tcPr>
            <w:tcW w:w="3820" w:type="dxa"/>
            <w:tcBorders>
              <w:top w:val="nil"/>
              <w:left w:val="nil"/>
              <w:bottom w:val="nil"/>
              <w:right w:val="nil"/>
            </w:tcBorders>
            <w:shd w:val="clear" w:color="auto" w:fill="auto"/>
            <w:noWrap/>
            <w:vAlign w:val="bottom"/>
            <w:hideMark/>
          </w:tcPr>
          <w:p w:rsidR="00EE6D36" w:rsidRPr="000E06D6" w:rsidRDefault="00EE6D36" w:rsidP="00EE6D36">
            <w:pPr>
              <w:rPr>
                <w:rFonts w:ascii="Calibri" w:hAnsi="Calibri"/>
                <w:color w:val="000000"/>
              </w:rPr>
            </w:pPr>
          </w:p>
        </w:tc>
        <w:tc>
          <w:tcPr>
            <w:tcW w:w="1980" w:type="dxa"/>
            <w:tcBorders>
              <w:top w:val="nil"/>
              <w:left w:val="nil"/>
              <w:bottom w:val="nil"/>
              <w:right w:val="nil"/>
            </w:tcBorders>
            <w:shd w:val="clear" w:color="auto" w:fill="auto"/>
            <w:noWrap/>
            <w:vAlign w:val="bottom"/>
            <w:hideMark/>
          </w:tcPr>
          <w:p w:rsidR="00EE6D36" w:rsidRPr="000E06D6" w:rsidRDefault="00EE6D36" w:rsidP="00EE6D36">
            <w:pPr>
              <w:rPr>
                <w:rFonts w:ascii="Calibri" w:hAnsi="Calibri"/>
                <w:color w:val="000000"/>
              </w:rPr>
            </w:pPr>
          </w:p>
        </w:tc>
        <w:tc>
          <w:tcPr>
            <w:tcW w:w="3200" w:type="dxa"/>
            <w:tcBorders>
              <w:top w:val="nil"/>
              <w:left w:val="nil"/>
              <w:bottom w:val="nil"/>
              <w:right w:val="nil"/>
            </w:tcBorders>
            <w:shd w:val="clear" w:color="auto" w:fill="auto"/>
            <w:noWrap/>
            <w:vAlign w:val="bottom"/>
            <w:hideMark/>
          </w:tcPr>
          <w:p w:rsidR="00EE6D36" w:rsidRPr="000E06D6" w:rsidRDefault="00EE6D36" w:rsidP="00EE6D36">
            <w:pPr>
              <w:rPr>
                <w:rFonts w:ascii="Calibri" w:hAnsi="Calibri"/>
                <w:color w:val="000000"/>
              </w:rPr>
            </w:pPr>
          </w:p>
        </w:tc>
        <w:tc>
          <w:tcPr>
            <w:tcW w:w="3260" w:type="dxa"/>
            <w:tcBorders>
              <w:top w:val="nil"/>
              <w:left w:val="nil"/>
              <w:bottom w:val="nil"/>
              <w:right w:val="nil"/>
            </w:tcBorders>
            <w:shd w:val="clear" w:color="auto" w:fill="auto"/>
            <w:noWrap/>
            <w:vAlign w:val="bottom"/>
            <w:hideMark/>
          </w:tcPr>
          <w:p w:rsidR="00EE6D36" w:rsidRPr="000E06D6" w:rsidRDefault="00EE6D36" w:rsidP="00EE6D36">
            <w:pPr>
              <w:rPr>
                <w:rFonts w:ascii="Calibri" w:hAnsi="Calibri"/>
                <w:color w:val="000000"/>
              </w:rPr>
            </w:pPr>
          </w:p>
        </w:tc>
      </w:tr>
      <w:tr w:rsidR="00EE6D36" w:rsidRPr="000E06D6" w:rsidTr="00EE6D36">
        <w:trPr>
          <w:trHeight w:val="300"/>
        </w:trPr>
        <w:tc>
          <w:tcPr>
            <w:tcW w:w="12260" w:type="dxa"/>
            <w:gridSpan w:val="4"/>
            <w:tcBorders>
              <w:top w:val="nil"/>
              <w:left w:val="nil"/>
              <w:bottom w:val="nil"/>
              <w:right w:val="nil"/>
            </w:tcBorders>
            <w:shd w:val="clear" w:color="auto" w:fill="auto"/>
            <w:noWrap/>
            <w:vAlign w:val="bottom"/>
            <w:hideMark/>
          </w:tcPr>
          <w:p w:rsidR="00EE6D36" w:rsidRPr="000E06D6" w:rsidRDefault="00EE6D36" w:rsidP="00EE6D36">
            <w:pPr>
              <w:rPr>
                <w:rFonts w:ascii="Calibri" w:hAnsi="Calibri"/>
                <w:color w:val="000000"/>
              </w:rPr>
            </w:pPr>
            <w:r w:rsidRPr="000E06D6">
              <w:rPr>
                <w:rFonts w:ascii="Calibri" w:hAnsi="Calibri"/>
                <w:color w:val="000000"/>
              </w:rPr>
              <w:t xml:space="preserve">Source: U.S. Census Bureau, Current Population Survey, Annual Social and Economic Supplement, 2016 (internal file). </w:t>
            </w:r>
          </w:p>
        </w:tc>
      </w:tr>
    </w:tbl>
    <w:p w:rsidR="001D39A7" w:rsidRDefault="00F01637" w:rsidP="00EE6D36">
      <w:r>
        <w:br w:type="page"/>
      </w:r>
    </w:p>
    <w:p w:rsidR="00D150D0" w:rsidRDefault="00D150D0" w:rsidP="0028541F">
      <w:pPr>
        <w:jc w:val="center"/>
      </w:pPr>
    </w:p>
    <w:p w:rsidR="00D150D0" w:rsidRDefault="00D150D0" w:rsidP="0028541F">
      <w:pPr>
        <w:jc w:val="center"/>
      </w:pPr>
    </w:p>
    <w:p w:rsidR="00D150D0" w:rsidRDefault="00D150D0" w:rsidP="0028541F">
      <w:pPr>
        <w:jc w:val="center"/>
      </w:pPr>
    </w:p>
    <w:p w:rsidR="00D150D0" w:rsidRDefault="00D150D0" w:rsidP="0028541F">
      <w:pPr>
        <w:jc w:val="center"/>
      </w:pPr>
    </w:p>
    <w:p w:rsidR="00D150D0" w:rsidRDefault="00D150D0" w:rsidP="0028541F">
      <w:pPr>
        <w:jc w:val="center"/>
      </w:pPr>
    </w:p>
    <w:p w:rsidR="00D150D0" w:rsidRDefault="00D150D0" w:rsidP="0028541F">
      <w:pPr>
        <w:jc w:val="center"/>
      </w:pPr>
    </w:p>
    <w:p w:rsidR="00D150D0" w:rsidRDefault="00D150D0" w:rsidP="0028541F">
      <w:pPr>
        <w:jc w:val="center"/>
      </w:pPr>
    </w:p>
    <w:p w:rsidR="00F21BD0" w:rsidRDefault="00C94BD0" w:rsidP="0028541F">
      <w:pPr>
        <w:jc w:val="center"/>
      </w:pPr>
      <w:r w:rsidRPr="00C94BD0">
        <w:rPr>
          <w:noProof/>
        </w:rPr>
        <w:drawing>
          <wp:inline distT="0" distB="0" distL="0" distR="0" wp14:anchorId="201763AD" wp14:editId="3C57AF73">
            <wp:extent cx="9258300" cy="4029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8300" cy="4029075"/>
                    </a:xfrm>
                    <a:prstGeom prst="rect">
                      <a:avLst/>
                    </a:prstGeom>
                    <a:noFill/>
                    <a:ln>
                      <a:noFill/>
                    </a:ln>
                  </pic:spPr>
                </pic:pic>
              </a:graphicData>
            </a:graphic>
          </wp:inline>
        </w:drawing>
      </w:r>
    </w:p>
    <w:p w:rsidR="00F21BD0" w:rsidRPr="00F21BD0" w:rsidRDefault="00F21BD0" w:rsidP="00F21BD0"/>
    <w:p w:rsidR="00F21BD0" w:rsidRPr="00F21BD0" w:rsidRDefault="00F21BD0" w:rsidP="00F21BD0"/>
    <w:p w:rsidR="00F21BD0" w:rsidRDefault="00F21BD0" w:rsidP="00F21BD0"/>
    <w:p w:rsidR="00F21BD0" w:rsidRDefault="00F21BD0" w:rsidP="00F21BD0"/>
    <w:p w:rsidR="00F21BD0" w:rsidRDefault="00F21BD0" w:rsidP="00F21BD0">
      <w:pPr>
        <w:tabs>
          <w:tab w:val="left" w:pos="6030"/>
        </w:tabs>
      </w:pPr>
      <w:r>
        <w:tab/>
      </w:r>
    </w:p>
    <w:p w:rsidR="00F21BD0" w:rsidRDefault="00F21BD0" w:rsidP="00F21BD0"/>
    <w:p w:rsidR="001D39A7" w:rsidRPr="00F21BD0" w:rsidRDefault="001D39A7" w:rsidP="00F21BD0">
      <w:pPr>
        <w:sectPr w:rsidR="001D39A7" w:rsidRPr="00F21BD0" w:rsidSect="000E7A17">
          <w:pgSz w:w="15840" w:h="12240" w:orient="landscape" w:code="1"/>
          <w:pgMar w:top="720" w:right="720" w:bottom="720" w:left="720" w:header="720" w:footer="720" w:gutter="0"/>
          <w:cols w:space="720"/>
          <w:titlePg/>
          <w:docGrid w:linePitch="360"/>
        </w:sectPr>
      </w:pPr>
    </w:p>
    <w:tbl>
      <w:tblPr>
        <w:tblW w:w="14105" w:type="dxa"/>
        <w:tblInd w:w="93" w:type="dxa"/>
        <w:tblLook w:val="04A0" w:firstRow="1" w:lastRow="0" w:firstColumn="1" w:lastColumn="0" w:noHBand="0" w:noVBand="1"/>
      </w:tblPr>
      <w:tblGrid>
        <w:gridCol w:w="5450"/>
        <w:gridCol w:w="1189"/>
        <w:gridCol w:w="1395"/>
        <w:gridCol w:w="1393"/>
        <w:gridCol w:w="1356"/>
        <w:gridCol w:w="1522"/>
        <w:gridCol w:w="1800"/>
      </w:tblGrid>
      <w:tr w:rsidR="00D07EC6" w:rsidRPr="00D07EC6" w:rsidTr="004504C1">
        <w:trPr>
          <w:trHeight w:val="259"/>
        </w:trPr>
        <w:tc>
          <w:tcPr>
            <w:tcW w:w="14105" w:type="dxa"/>
            <w:gridSpan w:val="7"/>
            <w:tcBorders>
              <w:top w:val="nil"/>
              <w:left w:val="nil"/>
              <w:bottom w:val="single" w:sz="4" w:space="0" w:color="auto"/>
              <w:right w:val="nil"/>
            </w:tcBorders>
            <w:shd w:val="clear" w:color="auto" w:fill="auto"/>
            <w:noWrap/>
            <w:vAlign w:val="bottom"/>
            <w:hideMark/>
          </w:tcPr>
          <w:p w:rsidR="00D07EC6" w:rsidRPr="00D07EC6" w:rsidRDefault="00D07EC6" w:rsidP="00D07EC6">
            <w:pPr>
              <w:rPr>
                <w:rFonts w:ascii="Calibri" w:hAnsi="Calibri"/>
                <w:color w:val="000000"/>
                <w:sz w:val="22"/>
                <w:szCs w:val="22"/>
              </w:rPr>
            </w:pPr>
            <w:bookmarkStart w:id="1" w:name="RANGE!A1:G29"/>
            <w:r w:rsidRPr="00D07EC6">
              <w:rPr>
                <w:rFonts w:ascii="Calibri" w:hAnsi="Calibri"/>
                <w:color w:val="000000"/>
                <w:sz w:val="22"/>
                <w:szCs w:val="22"/>
              </w:rPr>
              <w:t xml:space="preserve">Table 5. 2016 Reason for Move Distribution: Before Coding, After Coding, After Edits, and After Weighting </w:t>
            </w:r>
            <w:bookmarkEnd w:id="1"/>
          </w:p>
        </w:tc>
      </w:tr>
      <w:tr w:rsidR="00D07EC6" w:rsidRPr="00D07EC6" w:rsidTr="004504C1">
        <w:trPr>
          <w:trHeight w:val="1037"/>
        </w:trPr>
        <w:tc>
          <w:tcPr>
            <w:tcW w:w="5450" w:type="dxa"/>
            <w:tcBorders>
              <w:top w:val="nil"/>
              <w:left w:val="single" w:sz="4" w:space="0" w:color="auto"/>
              <w:bottom w:val="single" w:sz="4" w:space="0" w:color="auto"/>
              <w:right w:val="single" w:sz="4" w:space="0" w:color="auto"/>
            </w:tcBorders>
            <w:shd w:val="clear" w:color="auto" w:fill="auto"/>
            <w:vAlign w:val="bottom"/>
            <w:hideMark/>
          </w:tcPr>
          <w:p w:rsidR="00D07EC6" w:rsidRPr="00D07EC6" w:rsidRDefault="00D07EC6" w:rsidP="00D07EC6">
            <w:pPr>
              <w:rPr>
                <w:rFonts w:ascii="Calibri" w:hAnsi="Calibri"/>
                <w:color w:val="000000"/>
                <w:sz w:val="22"/>
                <w:szCs w:val="22"/>
              </w:rPr>
            </w:pPr>
            <w:r w:rsidRPr="00D07EC6">
              <w:rPr>
                <w:rFonts w:ascii="Calibri" w:hAnsi="Calibri"/>
                <w:color w:val="000000"/>
                <w:sz w:val="22"/>
                <w:szCs w:val="22"/>
              </w:rPr>
              <w:t>Reason for Move/1</w:t>
            </w:r>
          </w:p>
        </w:tc>
        <w:tc>
          <w:tcPr>
            <w:tcW w:w="1189" w:type="dxa"/>
            <w:tcBorders>
              <w:top w:val="nil"/>
              <w:left w:val="nil"/>
              <w:bottom w:val="single" w:sz="4" w:space="0" w:color="auto"/>
              <w:right w:val="single" w:sz="4" w:space="0" w:color="auto"/>
            </w:tcBorders>
            <w:shd w:val="clear" w:color="auto" w:fill="auto"/>
            <w:vAlign w:val="bottom"/>
            <w:hideMark/>
          </w:tcPr>
          <w:p w:rsidR="00D07EC6" w:rsidRPr="00D07EC6" w:rsidRDefault="00D07EC6" w:rsidP="00D07EC6">
            <w:pPr>
              <w:rPr>
                <w:rFonts w:ascii="Calibri" w:hAnsi="Calibri"/>
                <w:color w:val="000000"/>
                <w:sz w:val="22"/>
                <w:szCs w:val="22"/>
              </w:rPr>
            </w:pPr>
            <w:r w:rsidRPr="00D07EC6">
              <w:rPr>
                <w:rFonts w:ascii="Calibri" w:hAnsi="Calibri"/>
                <w:color w:val="000000"/>
                <w:sz w:val="22"/>
                <w:szCs w:val="22"/>
              </w:rPr>
              <w:t>Before coding</w:t>
            </w:r>
          </w:p>
        </w:tc>
        <w:tc>
          <w:tcPr>
            <w:tcW w:w="1395" w:type="dxa"/>
            <w:tcBorders>
              <w:top w:val="nil"/>
              <w:left w:val="nil"/>
              <w:bottom w:val="single" w:sz="4" w:space="0" w:color="auto"/>
              <w:right w:val="single" w:sz="4" w:space="0" w:color="auto"/>
            </w:tcBorders>
            <w:shd w:val="clear" w:color="auto" w:fill="auto"/>
            <w:vAlign w:val="bottom"/>
            <w:hideMark/>
          </w:tcPr>
          <w:p w:rsidR="00D07EC6" w:rsidRPr="00D07EC6" w:rsidRDefault="00D07EC6" w:rsidP="00D07EC6">
            <w:pPr>
              <w:rPr>
                <w:rFonts w:ascii="Calibri" w:hAnsi="Calibri"/>
                <w:color w:val="000000"/>
                <w:sz w:val="22"/>
                <w:szCs w:val="22"/>
              </w:rPr>
            </w:pPr>
            <w:r w:rsidRPr="00D07EC6">
              <w:rPr>
                <w:rFonts w:ascii="Calibri" w:hAnsi="Calibri"/>
                <w:color w:val="000000"/>
                <w:sz w:val="22"/>
                <w:szCs w:val="22"/>
              </w:rPr>
              <w:t>After coding/2</w:t>
            </w:r>
          </w:p>
        </w:tc>
        <w:tc>
          <w:tcPr>
            <w:tcW w:w="1393" w:type="dxa"/>
            <w:tcBorders>
              <w:top w:val="nil"/>
              <w:left w:val="nil"/>
              <w:bottom w:val="single" w:sz="4" w:space="0" w:color="auto"/>
              <w:right w:val="single" w:sz="4" w:space="0" w:color="auto"/>
            </w:tcBorders>
            <w:shd w:val="clear" w:color="auto" w:fill="auto"/>
            <w:vAlign w:val="bottom"/>
            <w:hideMark/>
          </w:tcPr>
          <w:p w:rsidR="00D07EC6" w:rsidRPr="00D07EC6" w:rsidRDefault="00D07EC6" w:rsidP="00D07EC6">
            <w:pPr>
              <w:rPr>
                <w:rFonts w:ascii="Calibri" w:hAnsi="Calibri"/>
                <w:color w:val="000000"/>
                <w:sz w:val="22"/>
                <w:szCs w:val="22"/>
              </w:rPr>
            </w:pPr>
            <w:r w:rsidRPr="00D07EC6">
              <w:rPr>
                <w:rFonts w:ascii="Calibri" w:hAnsi="Calibri"/>
                <w:color w:val="000000"/>
                <w:sz w:val="22"/>
                <w:szCs w:val="22"/>
              </w:rPr>
              <w:t>Percent changed by coding/3</w:t>
            </w:r>
          </w:p>
        </w:tc>
        <w:tc>
          <w:tcPr>
            <w:tcW w:w="1356" w:type="dxa"/>
            <w:tcBorders>
              <w:top w:val="nil"/>
              <w:left w:val="nil"/>
              <w:bottom w:val="single" w:sz="4" w:space="0" w:color="auto"/>
              <w:right w:val="single" w:sz="4" w:space="0" w:color="auto"/>
            </w:tcBorders>
            <w:shd w:val="clear" w:color="auto" w:fill="auto"/>
            <w:vAlign w:val="bottom"/>
            <w:hideMark/>
          </w:tcPr>
          <w:p w:rsidR="00D07EC6" w:rsidRPr="00D07EC6" w:rsidRDefault="00D07EC6" w:rsidP="00D07EC6">
            <w:pPr>
              <w:rPr>
                <w:rFonts w:ascii="Calibri" w:hAnsi="Calibri"/>
                <w:color w:val="000000"/>
                <w:sz w:val="22"/>
                <w:szCs w:val="22"/>
              </w:rPr>
            </w:pPr>
            <w:r w:rsidRPr="00D07EC6">
              <w:rPr>
                <w:rFonts w:ascii="Calibri" w:hAnsi="Calibri"/>
                <w:color w:val="000000"/>
                <w:sz w:val="22"/>
                <w:szCs w:val="22"/>
              </w:rPr>
              <w:t>After coding and edits</w:t>
            </w:r>
          </w:p>
        </w:tc>
        <w:tc>
          <w:tcPr>
            <w:tcW w:w="1522" w:type="dxa"/>
            <w:tcBorders>
              <w:top w:val="nil"/>
              <w:left w:val="nil"/>
              <w:bottom w:val="single" w:sz="4" w:space="0" w:color="auto"/>
              <w:right w:val="single" w:sz="4" w:space="0" w:color="auto"/>
            </w:tcBorders>
            <w:shd w:val="clear" w:color="auto" w:fill="auto"/>
            <w:vAlign w:val="bottom"/>
            <w:hideMark/>
          </w:tcPr>
          <w:p w:rsidR="00D07EC6" w:rsidRPr="00D07EC6" w:rsidRDefault="00D07EC6" w:rsidP="00D07EC6">
            <w:pPr>
              <w:rPr>
                <w:rFonts w:ascii="Calibri" w:hAnsi="Calibri"/>
                <w:color w:val="000000"/>
                <w:sz w:val="22"/>
                <w:szCs w:val="22"/>
              </w:rPr>
            </w:pPr>
            <w:r w:rsidRPr="00D07EC6">
              <w:rPr>
                <w:rFonts w:ascii="Calibri" w:hAnsi="Calibri"/>
                <w:color w:val="000000"/>
                <w:sz w:val="22"/>
                <w:szCs w:val="22"/>
              </w:rPr>
              <w:t>After coding, edits, and weighting</w:t>
            </w:r>
          </w:p>
        </w:tc>
        <w:tc>
          <w:tcPr>
            <w:tcW w:w="1799" w:type="dxa"/>
            <w:tcBorders>
              <w:top w:val="nil"/>
              <w:left w:val="nil"/>
              <w:bottom w:val="single" w:sz="4" w:space="0" w:color="auto"/>
              <w:right w:val="single" w:sz="4" w:space="0" w:color="auto"/>
            </w:tcBorders>
            <w:shd w:val="clear" w:color="auto" w:fill="auto"/>
            <w:vAlign w:val="bottom"/>
            <w:hideMark/>
          </w:tcPr>
          <w:p w:rsidR="00D07EC6" w:rsidRPr="00D07EC6" w:rsidRDefault="00D07EC6" w:rsidP="00D07EC6">
            <w:pPr>
              <w:rPr>
                <w:rFonts w:ascii="Calibri" w:hAnsi="Calibri"/>
                <w:color w:val="000000"/>
                <w:sz w:val="22"/>
                <w:szCs w:val="22"/>
              </w:rPr>
            </w:pPr>
            <w:r w:rsidRPr="00D07EC6">
              <w:rPr>
                <w:rFonts w:ascii="Calibri" w:hAnsi="Calibri"/>
                <w:color w:val="000000"/>
                <w:sz w:val="22"/>
                <w:szCs w:val="22"/>
              </w:rPr>
              <w:t>Percent changed by edits and weighting/4</w:t>
            </w:r>
          </w:p>
        </w:tc>
      </w:tr>
      <w:tr w:rsidR="005B3406" w:rsidRPr="00D07EC6" w:rsidTr="004504C1">
        <w:trPr>
          <w:trHeight w:val="259"/>
        </w:trPr>
        <w:tc>
          <w:tcPr>
            <w:tcW w:w="5450" w:type="dxa"/>
            <w:tcBorders>
              <w:top w:val="nil"/>
              <w:left w:val="single" w:sz="4" w:space="0" w:color="auto"/>
              <w:bottom w:val="nil"/>
              <w:right w:val="single" w:sz="4" w:space="0" w:color="auto"/>
            </w:tcBorders>
            <w:shd w:val="clear" w:color="auto" w:fill="auto"/>
            <w:noWrap/>
            <w:vAlign w:val="bottom"/>
            <w:hideMark/>
          </w:tcPr>
          <w:p w:rsidR="00D07EC6" w:rsidRPr="00D07EC6" w:rsidRDefault="00D07EC6" w:rsidP="00D07EC6">
            <w:pPr>
              <w:rPr>
                <w:rFonts w:ascii="Calibri" w:hAnsi="Calibri"/>
                <w:color w:val="000000"/>
                <w:sz w:val="22"/>
                <w:szCs w:val="22"/>
              </w:rPr>
            </w:pPr>
            <w:r w:rsidRPr="00D07EC6">
              <w:rPr>
                <w:rFonts w:ascii="Calibri" w:hAnsi="Calibri"/>
                <w:color w:val="000000"/>
                <w:sz w:val="22"/>
                <w:szCs w:val="22"/>
              </w:rPr>
              <w:t>Change in marital status</w:t>
            </w:r>
          </w:p>
        </w:tc>
        <w:tc>
          <w:tcPr>
            <w:tcW w:w="1189"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6.2</w:t>
            </w:r>
          </w:p>
        </w:tc>
        <w:tc>
          <w:tcPr>
            <w:tcW w:w="1395"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6.5</w:t>
            </w:r>
          </w:p>
        </w:tc>
        <w:tc>
          <w:tcPr>
            <w:tcW w:w="1393"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4.4</w:t>
            </w:r>
          </w:p>
        </w:tc>
        <w:tc>
          <w:tcPr>
            <w:tcW w:w="1356"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4.8</w:t>
            </w:r>
          </w:p>
        </w:tc>
        <w:tc>
          <w:tcPr>
            <w:tcW w:w="1522"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4.8</w:t>
            </w:r>
          </w:p>
        </w:tc>
        <w:tc>
          <w:tcPr>
            <w:tcW w:w="1799"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-35.2</w:t>
            </w:r>
          </w:p>
        </w:tc>
      </w:tr>
      <w:tr w:rsidR="005B3406" w:rsidRPr="00D07EC6" w:rsidTr="004504C1">
        <w:trPr>
          <w:trHeight w:val="259"/>
        </w:trPr>
        <w:tc>
          <w:tcPr>
            <w:tcW w:w="5450" w:type="dxa"/>
            <w:tcBorders>
              <w:top w:val="nil"/>
              <w:left w:val="single" w:sz="4" w:space="0" w:color="auto"/>
              <w:bottom w:val="nil"/>
              <w:right w:val="single" w:sz="4" w:space="0" w:color="auto"/>
            </w:tcBorders>
            <w:shd w:val="clear" w:color="auto" w:fill="auto"/>
            <w:noWrap/>
            <w:vAlign w:val="bottom"/>
            <w:hideMark/>
          </w:tcPr>
          <w:p w:rsidR="00D07EC6" w:rsidRPr="00D07EC6" w:rsidRDefault="00D07EC6" w:rsidP="00D07EC6">
            <w:pPr>
              <w:rPr>
                <w:rFonts w:ascii="Calibri" w:hAnsi="Calibri"/>
                <w:color w:val="000000"/>
                <w:sz w:val="22"/>
                <w:szCs w:val="22"/>
              </w:rPr>
            </w:pPr>
            <w:r w:rsidRPr="00D07EC6">
              <w:rPr>
                <w:rFonts w:ascii="Calibri" w:hAnsi="Calibri"/>
                <w:color w:val="000000"/>
                <w:sz w:val="22"/>
                <w:szCs w:val="22"/>
              </w:rPr>
              <w:t>To establish own household</w:t>
            </w:r>
          </w:p>
        </w:tc>
        <w:tc>
          <w:tcPr>
            <w:tcW w:w="1189"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12.4</w:t>
            </w:r>
          </w:p>
        </w:tc>
        <w:tc>
          <w:tcPr>
            <w:tcW w:w="1395"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12.7</w:t>
            </w:r>
          </w:p>
        </w:tc>
        <w:tc>
          <w:tcPr>
            <w:tcW w:w="1393"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2.3</w:t>
            </w:r>
          </w:p>
        </w:tc>
        <w:tc>
          <w:tcPr>
            <w:tcW w:w="1356"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12.0</w:t>
            </w:r>
          </w:p>
        </w:tc>
        <w:tc>
          <w:tcPr>
            <w:tcW w:w="1522"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12.2</w:t>
            </w:r>
          </w:p>
        </w:tc>
        <w:tc>
          <w:tcPr>
            <w:tcW w:w="1799"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-4.3</w:t>
            </w:r>
          </w:p>
        </w:tc>
      </w:tr>
      <w:tr w:rsidR="005B3406" w:rsidRPr="00D07EC6" w:rsidTr="004504C1">
        <w:trPr>
          <w:trHeight w:val="259"/>
        </w:trPr>
        <w:tc>
          <w:tcPr>
            <w:tcW w:w="5450" w:type="dxa"/>
            <w:tcBorders>
              <w:top w:val="nil"/>
              <w:left w:val="single" w:sz="4" w:space="0" w:color="auto"/>
              <w:bottom w:val="nil"/>
              <w:right w:val="single" w:sz="4" w:space="0" w:color="auto"/>
            </w:tcBorders>
            <w:shd w:val="clear" w:color="auto" w:fill="auto"/>
            <w:noWrap/>
            <w:vAlign w:val="bottom"/>
            <w:hideMark/>
          </w:tcPr>
          <w:p w:rsidR="00D07EC6" w:rsidRPr="00D07EC6" w:rsidRDefault="00D07EC6" w:rsidP="00D07EC6">
            <w:pPr>
              <w:rPr>
                <w:rFonts w:ascii="Calibri" w:hAnsi="Calibri"/>
                <w:b/>
                <w:bCs/>
                <w:color w:val="000000"/>
                <w:sz w:val="22"/>
                <w:szCs w:val="22"/>
              </w:rPr>
            </w:pPr>
            <w:r w:rsidRPr="00D07EC6">
              <w:rPr>
                <w:rFonts w:ascii="Calibri" w:hAnsi="Calibri"/>
                <w:b/>
                <w:bCs/>
                <w:color w:val="000000"/>
                <w:sz w:val="22"/>
                <w:szCs w:val="22"/>
              </w:rPr>
              <w:t>Other family reason/5</w:t>
            </w:r>
          </w:p>
        </w:tc>
        <w:tc>
          <w:tcPr>
            <w:tcW w:w="1189"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b/>
                <w:bCs/>
                <w:color w:val="000000"/>
                <w:sz w:val="22"/>
                <w:szCs w:val="22"/>
              </w:rPr>
            </w:pPr>
            <w:r w:rsidRPr="00D07EC6">
              <w:rPr>
                <w:rFonts w:ascii="Calibri" w:hAnsi="Calibri"/>
                <w:b/>
                <w:bCs/>
                <w:color w:val="000000"/>
                <w:sz w:val="22"/>
                <w:szCs w:val="22"/>
              </w:rPr>
              <w:t>13.1</w:t>
            </w:r>
          </w:p>
        </w:tc>
        <w:tc>
          <w:tcPr>
            <w:tcW w:w="1395"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b/>
                <w:bCs/>
                <w:color w:val="000000"/>
                <w:sz w:val="22"/>
                <w:szCs w:val="22"/>
              </w:rPr>
            </w:pPr>
            <w:r w:rsidRPr="00D07EC6">
              <w:rPr>
                <w:rFonts w:ascii="Calibri" w:hAnsi="Calibri"/>
                <w:b/>
                <w:bCs/>
                <w:color w:val="000000"/>
                <w:sz w:val="22"/>
                <w:szCs w:val="22"/>
              </w:rPr>
              <w:t>12.9</w:t>
            </w:r>
          </w:p>
        </w:tc>
        <w:tc>
          <w:tcPr>
            <w:tcW w:w="1393"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-1.1</w:t>
            </w:r>
          </w:p>
        </w:tc>
        <w:tc>
          <w:tcPr>
            <w:tcW w:w="1356"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b/>
                <w:bCs/>
                <w:color w:val="000000"/>
                <w:sz w:val="22"/>
                <w:szCs w:val="22"/>
              </w:rPr>
            </w:pPr>
            <w:r w:rsidRPr="00D07EC6">
              <w:rPr>
                <w:rFonts w:ascii="Calibri" w:hAnsi="Calibri"/>
                <w:b/>
                <w:bCs/>
                <w:color w:val="000000"/>
                <w:sz w:val="22"/>
                <w:szCs w:val="22"/>
              </w:rPr>
              <w:t>11.4</w:t>
            </w:r>
          </w:p>
        </w:tc>
        <w:tc>
          <w:tcPr>
            <w:tcW w:w="1522"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b/>
                <w:bCs/>
                <w:color w:val="000000"/>
                <w:sz w:val="22"/>
                <w:szCs w:val="22"/>
              </w:rPr>
            </w:pPr>
            <w:r w:rsidRPr="00D07EC6">
              <w:rPr>
                <w:rFonts w:ascii="Calibri" w:hAnsi="Calibri"/>
                <w:b/>
                <w:bCs/>
                <w:color w:val="000000"/>
                <w:sz w:val="22"/>
                <w:szCs w:val="22"/>
              </w:rPr>
              <w:t>10.5</w:t>
            </w:r>
          </w:p>
        </w:tc>
        <w:tc>
          <w:tcPr>
            <w:tcW w:w="1799"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-23.4</w:t>
            </w:r>
          </w:p>
        </w:tc>
      </w:tr>
      <w:tr w:rsidR="005B3406" w:rsidRPr="00D07EC6" w:rsidTr="004504C1">
        <w:trPr>
          <w:trHeight w:val="259"/>
        </w:trPr>
        <w:tc>
          <w:tcPr>
            <w:tcW w:w="5450" w:type="dxa"/>
            <w:tcBorders>
              <w:top w:val="nil"/>
              <w:left w:val="single" w:sz="4" w:space="0" w:color="auto"/>
              <w:bottom w:val="nil"/>
              <w:right w:val="single" w:sz="4" w:space="0" w:color="auto"/>
            </w:tcBorders>
            <w:shd w:val="clear" w:color="auto" w:fill="auto"/>
            <w:noWrap/>
            <w:vAlign w:val="bottom"/>
            <w:hideMark/>
          </w:tcPr>
          <w:p w:rsidR="00D07EC6" w:rsidRPr="00D07EC6" w:rsidRDefault="00D07EC6" w:rsidP="00D07EC6">
            <w:pPr>
              <w:rPr>
                <w:rFonts w:ascii="Calibri" w:hAnsi="Calibri"/>
                <w:color w:val="000000"/>
                <w:sz w:val="22"/>
                <w:szCs w:val="22"/>
              </w:rPr>
            </w:pPr>
            <w:r w:rsidRPr="00D07EC6">
              <w:rPr>
                <w:rFonts w:ascii="Calibri" w:hAnsi="Calibri"/>
                <w:color w:val="000000"/>
                <w:sz w:val="22"/>
                <w:szCs w:val="22"/>
              </w:rPr>
              <w:t>New job or job transfer</w:t>
            </w:r>
          </w:p>
        </w:tc>
        <w:tc>
          <w:tcPr>
            <w:tcW w:w="1189"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9.9</w:t>
            </w:r>
          </w:p>
        </w:tc>
        <w:tc>
          <w:tcPr>
            <w:tcW w:w="1395"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10.9</w:t>
            </w:r>
          </w:p>
        </w:tc>
        <w:tc>
          <w:tcPr>
            <w:tcW w:w="1393"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8.6</w:t>
            </w:r>
          </w:p>
        </w:tc>
        <w:tc>
          <w:tcPr>
            <w:tcW w:w="1356"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11.1</w:t>
            </w:r>
          </w:p>
        </w:tc>
        <w:tc>
          <w:tcPr>
            <w:tcW w:w="1522"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10.8</w:t>
            </w:r>
          </w:p>
        </w:tc>
        <w:tc>
          <w:tcPr>
            <w:tcW w:w="1799"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-0.2</w:t>
            </w:r>
          </w:p>
        </w:tc>
      </w:tr>
      <w:tr w:rsidR="005B3406" w:rsidRPr="00D07EC6" w:rsidTr="004504C1">
        <w:trPr>
          <w:trHeight w:val="259"/>
        </w:trPr>
        <w:tc>
          <w:tcPr>
            <w:tcW w:w="5450" w:type="dxa"/>
            <w:tcBorders>
              <w:top w:val="nil"/>
              <w:left w:val="single" w:sz="4" w:space="0" w:color="auto"/>
              <w:bottom w:val="nil"/>
              <w:right w:val="single" w:sz="4" w:space="0" w:color="auto"/>
            </w:tcBorders>
            <w:shd w:val="clear" w:color="auto" w:fill="auto"/>
            <w:noWrap/>
            <w:vAlign w:val="bottom"/>
            <w:hideMark/>
          </w:tcPr>
          <w:p w:rsidR="00D07EC6" w:rsidRPr="00D07EC6" w:rsidRDefault="00D07EC6" w:rsidP="00D07EC6">
            <w:pPr>
              <w:rPr>
                <w:rFonts w:ascii="Calibri" w:hAnsi="Calibri"/>
                <w:color w:val="000000"/>
                <w:sz w:val="22"/>
                <w:szCs w:val="22"/>
              </w:rPr>
            </w:pPr>
            <w:r w:rsidRPr="00D07EC6">
              <w:rPr>
                <w:rFonts w:ascii="Calibri" w:hAnsi="Calibri"/>
                <w:color w:val="000000"/>
                <w:sz w:val="22"/>
                <w:szCs w:val="22"/>
              </w:rPr>
              <w:t>To look for work or lost job</w:t>
            </w:r>
          </w:p>
        </w:tc>
        <w:tc>
          <w:tcPr>
            <w:tcW w:w="1189"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1.9</w:t>
            </w:r>
          </w:p>
        </w:tc>
        <w:tc>
          <w:tcPr>
            <w:tcW w:w="1395"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2.0</w:t>
            </w:r>
          </w:p>
        </w:tc>
        <w:tc>
          <w:tcPr>
            <w:tcW w:w="1393"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9.0</w:t>
            </w:r>
          </w:p>
        </w:tc>
        <w:tc>
          <w:tcPr>
            <w:tcW w:w="1356"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1.6</w:t>
            </w:r>
          </w:p>
        </w:tc>
        <w:tc>
          <w:tcPr>
            <w:tcW w:w="1522"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1.5</w:t>
            </w:r>
          </w:p>
        </w:tc>
        <w:tc>
          <w:tcPr>
            <w:tcW w:w="1799"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-35.3</w:t>
            </w:r>
          </w:p>
        </w:tc>
      </w:tr>
      <w:tr w:rsidR="005B3406" w:rsidRPr="00D07EC6" w:rsidTr="004504C1">
        <w:trPr>
          <w:trHeight w:val="259"/>
        </w:trPr>
        <w:tc>
          <w:tcPr>
            <w:tcW w:w="5450" w:type="dxa"/>
            <w:tcBorders>
              <w:top w:val="nil"/>
              <w:left w:val="single" w:sz="4" w:space="0" w:color="auto"/>
              <w:bottom w:val="nil"/>
              <w:right w:val="single" w:sz="4" w:space="0" w:color="auto"/>
            </w:tcBorders>
            <w:shd w:val="clear" w:color="auto" w:fill="auto"/>
            <w:noWrap/>
            <w:vAlign w:val="bottom"/>
            <w:hideMark/>
          </w:tcPr>
          <w:p w:rsidR="00D07EC6" w:rsidRPr="00D07EC6" w:rsidRDefault="00D07EC6" w:rsidP="00D07EC6">
            <w:pPr>
              <w:rPr>
                <w:rFonts w:ascii="Calibri" w:hAnsi="Calibri"/>
                <w:color w:val="000000"/>
                <w:sz w:val="22"/>
                <w:szCs w:val="22"/>
              </w:rPr>
            </w:pPr>
            <w:r w:rsidRPr="00D07EC6">
              <w:rPr>
                <w:rFonts w:ascii="Calibri" w:hAnsi="Calibri"/>
                <w:color w:val="000000"/>
                <w:sz w:val="22"/>
                <w:szCs w:val="22"/>
              </w:rPr>
              <w:t>To be closer to work/easier commute</w:t>
            </w:r>
          </w:p>
        </w:tc>
        <w:tc>
          <w:tcPr>
            <w:tcW w:w="1189"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5.4</w:t>
            </w:r>
          </w:p>
        </w:tc>
        <w:tc>
          <w:tcPr>
            <w:tcW w:w="1395"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5.5</w:t>
            </w:r>
          </w:p>
        </w:tc>
        <w:tc>
          <w:tcPr>
            <w:tcW w:w="1393"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2.3</w:t>
            </w:r>
          </w:p>
        </w:tc>
        <w:tc>
          <w:tcPr>
            <w:tcW w:w="1356"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5.6</w:t>
            </w:r>
          </w:p>
        </w:tc>
        <w:tc>
          <w:tcPr>
            <w:tcW w:w="1522"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6.0</w:t>
            </w:r>
          </w:p>
        </w:tc>
        <w:tc>
          <w:tcPr>
            <w:tcW w:w="1799"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7.2</w:t>
            </w:r>
          </w:p>
        </w:tc>
      </w:tr>
      <w:tr w:rsidR="005B3406" w:rsidRPr="00D07EC6" w:rsidTr="004504C1">
        <w:trPr>
          <w:trHeight w:val="259"/>
        </w:trPr>
        <w:tc>
          <w:tcPr>
            <w:tcW w:w="5450" w:type="dxa"/>
            <w:tcBorders>
              <w:top w:val="nil"/>
              <w:left w:val="single" w:sz="4" w:space="0" w:color="auto"/>
              <w:bottom w:val="nil"/>
              <w:right w:val="single" w:sz="4" w:space="0" w:color="auto"/>
            </w:tcBorders>
            <w:shd w:val="clear" w:color="auto" w:fill="auto"/>
            <w:noWrap/>
            <w:vAlign w:val="bottom"/>
            <w:hideMark/>
          </w:tcPr>
          <w:p w:rsidR="00D07EC6" w:rsidRPr="00D07EC6" w:rsidRDefault="00D07EC6" w:rsidP="00D07EC6">
            <w:pPr>
              <w:rPr>
                <w:rFonts w:ascii="Calibri" w:hAnsi="Calibri"/>
                <w:color w:val="000000"/>
                <w:sz w:val="22"/>
                <w:szCs w:val="22"/>
              </w:rPr>
            </w:pPr>
            <w:r w:rsidRPr="00D07EC6">
              <w:rPr>
                <w:rFonts w:ascii="Calibri" w:hAnsi="Calibri"/>
                <w:color w:val="000000"/>
                <w:sz w:val="22"/>
                <w:szCs w:val="22"/>
              </w:rPr>
              <w:t>Retired</w:t>
            </w:r>
          </w:p>
        </w:tc>
        <w:tc>
          <w:tcPr>
            <w:tcW w:w="1189"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0.7</w:t>
            </w:r>
          </w:p>
        </w:tc>
        <w:tc>
          <w:tcPr>
            <w:tcW w:w="1395"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0.7</w:t>
            </w:r>
          </w:p>
        </w:tc>
        <w:tc>
          <w:tcPr>
            <w:tcW w:w="1393"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3.9</w:t>
            </w:r>
          </w:p>
        </w:tc>
        <w:tc>
          <w:tcPr>
            <w:tcW w:w="1356"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0.7</w:t>
            </w:r>
          </w:p>
        </w:tc>
        <w:tc>
          <w:tcPr>
            <w:tcW w:w="1522"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0.7</w:t>
            </w:r>
          </w:p>
        </w:tc>
        <w:tc>
          <w:tcPr>
            <w:tcW w:w="1799"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-10.6</w:t>
            </w:r>
          </w:p>
        </w:tc>
      </w:tr>
      <w:tr w:rsidR="005B3406" w:rsidRPr="00D07EC6" w:rsidTr="004504C1">
        <w:trPr>
          <w:trHeight w:val="259"/>
        </w:trPr>
        <w:tc>
          <w:tcPr>
            <w:tcW w:w="5450" w:type="dxa"/>
            <w:tcBorders>
              <w:top w:val="nil"/>
              <w:left w:val="single" w:sz="4" w:space="0" w:color="auto"/>
              <w:bottom w:val="nil"/>
              <w:right w:val="single" w:sz="4" w:space="0" w:color="auto"/>
            </w:tcBorders>
            <w:shd w:val="clear" w:color="auto" w:fill="auto"/>
            <w:noWrap/>
            <w:vAlign w:val="bottom"/>
            <w:hideMark/>
          </w:tcPr>
          <w:p w:rsidR="00D07EC6" w:rsidRPr="00D07EC6" w:rsidRDefault="00D07EC6" w:rsidP="00D07EC6">
            <w:pPr>
              <w:rPr>
                <w:rFonts w:ascii="Calibri" w:hAnsi="Calibri"/>
                <w:b/>
                <w:bCs/>
                <w:color w:val="000000"/>
                <w:sz w:val="22"/>
                <w:szCs w:val="22"/>
              </w:rPr>
            </w:pPr>
            <w:r w:rsidRPr="00D07EC6">
              <w:rPr>
                <w:rFonts w:ascii="Calibri" w:hAnsi="Calibri"/>
                <w:b/>
                <w:bCs/>
                <w:color w:val="000000"/>
                <w:sz w:val="22"/>
                <w:szCs w:val="22"/>
              </w:rPr>
              <w:t>Other job-related reason/5</w:t>
            </w:r>
          </w:p>
        </w:tc>
        <w:tc>
          <w:tcPr>
            <w:tcW w:w="1189"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b/>
                <w:bCs/>
                <w:color w:val="000000"/>
                <w:sz w:val="22"/>
                <w:szCs w:val="22"/>
              </w:rPr>
            </w:pPr>
            <w:r w:rsidRPr="00D07EC6">
              <w:rPr>
                <w:rFonts w:ascii="Calibri" w:hAnsi="Calibri"/>
                <w:b/>
                <w:bCs/>
                <w:color w:val="000000"/>
                <w:sz w:val="22"/>
                <w:szCs w:val="22"/>
              </w:rPr>
              <w:t>1.0</w:t>
            </w:r>
          </w:p>
        </w:tc>
        <w:tc>
          <w:tcPr>
            <w:tcW w:w="1395"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b/>
                <w:bCs/>
                <w:color w:val="000000"/>
                <w:sz w:val="22"/>
                <w:szCs w:val="22"/>
              </w:rPr>
            </w:pPr>
            <w:r w:rsidRPr="00D07EC6">
              <w:rPr>
                <w:rFonts w:ascii="Calibri" w:hAnsi="Calibri"/>
                <w:b/>
                <w:bCs/>
                <w:color w:val="000000"/>
                <w:sz w:val="22"/>
                <w:szCs w:val="22"/>
              </w:rPr>
              <w:t>0.4</w:t>
            </w:r>
          </w:p>
        </w:tc>
        <w:tc>
          <w:tcPr>
            <w:tcW w:w="1393"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-132.3</w:t>
            </w:r>
          </w:p>
        </w:tc>
        <w:tc>
          <w:tcPr>
            <w:tcW w:w="1356"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b/>
                <w:bCs/>
                <w:color w:val="000000"/>
                <w:sz w:val="22"/>
                <w:szCs w:val="22"/>
              </w:rPr>
            </w:pPr>
            <w:r w:rsidRPr="00D07EC6">
              <w:rPr>
                <w:rFonts w:ascii="Calibri" w:hAnsi="Calibri"/>
                <w:b/>
                <w:bCs/>
                <w:color w:val="000000"/>
                <w:sz w:val="22"/>
                <w:szCs w:val="22"/>
              </w:rPr>
              <w:t>1.3</w:t>
            </w:r>
          </w:p>
        </w:tc>
        <w:tc>
          <w:tcPr>
            <w:tcW w:w="1522"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b/>
                <w:bCs/>
                <w:color w:val="000000"/>
                <w:sz w:val="22"/>
                <w:szCs w:val="22"/>
              </w:rPr>
            </w:pPr>
            <w:r w:rsidRPr="00D07EC6">
              <w:rPr>
                <w:rFonts w:ascii="Calibri" w:hAnsi="Calibri"/>
                <w:b/>
                <w:bCs/>
                <w:color w:val="000000"/>
                <w:sz w:val="22"/>
                <w:szCs w:val="22"/>
              </w:rPr>
              <w:t>1.2</w:t>
            </w:r>
          </w:p>
        </w:tc>
        <w:tc>
          <w:tcPr>
            <w:tcW w:w="1799"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63.9</w:t>
            </w:r>
          </w:p>
        </w:tc>
      </w:tr>
      <w:tr w:rsidR="005B3406" w:rsidRPr="00D07EC6" w:rsidTr="004504C1">
        <w:trPr>
          <w:trHeight w:val="259"/>
        </w:trPr>
        <w:tc>
          <w:tcPr>
            <w:tcW w:w="5450" w:type="dxa"/>
            <w:tcBorders>
              <w:top w:val="nil"/>
              <w:left w:val="single" w:sz="4" w:space="0" w:color="auto"/>
              <w:bottom w:val="nil"/>
              <w:right w:val="single" w:sz="4" w:space="0" w:color="auto"/>
            </w:tcBorders>
            <w:shd w:val="clear" w:color="auto" w:fill="auto"/>
            <w:noWrap/>
            <w:vAlign w:val="bottom"/>
            <w:hideMark/>
          </w:tcPr>
          <w:p w:rsidR="00D07EC6" w:rsidRPr="00D07EC6" w:rsidRDefault="00D07EC6" w:rsidP="00D07EC6">
            <w:pPr>
              <w:rPr>
                <w:rFonts w:ascii="Calibri" w:hAnsi="Calibri"/>
                <w:color w:val="000000"/>
                <w:sz w:val="22"/>
                <w:szCs w:val="22"/>
              </w:rPr>
            </w:pPr>
            <w:r w:rsidRPr="00D07EC6">
              <w:rPr>
                <w:rFonts w:ascii="Calibri" w:hAnsi="Calibri"/>
                <w:color w:val="000000"/>
                <w:sz w:val="22"/>
                <w:szCs w:val="22"/>
              </w:rPr>
              <w:t>Wanted own home, not rent</w:t>
            </w:r>
          </w:p>
        </w:tc>
        <w:tc>
          <w:tcPr>
            <w:tcW w:w="1189"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4.7</w:t>
            </w:r>
          </w:p>
        </w:tc>
        <w:tc>
          <w:tcPr>
            <w:tcW w:w="1395"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4.7</w:t>
            </w:r>
          </w:p>
        </w:tc>
        <w:tc>
          <w:tcPr>
            <w:tcW w:w="1393"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0.6</w:t>
            </w:r>
          </w:p>
        </w:tc>
        <w:tc>
          <w:tcPr>
            <w:tcW w:w="1356"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6.4</w:t>
            </w:r>
          </w:p>
        </w:tc>
        <w:tc>
          <w:tcPr>
            <w:tcW w:w="1522"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5.9</w:t>
            </w:r>
          </w:p>
        </w:tc>
        <w:tc>
          <w:tcPr>
            <w:tcW w:w="1799"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20.2</w:t>
            </w:r>
          </w:p>
        </w:tc>
      </w:tr>
      <w:tr w:rsidR="005B3406" w:rsidRPr="00D07EC6" w:rsidTr="004504C1">
        <w:trPr>
          <w:trHeight w:val="259"/>
        </w:trPr>
        <w:tc>
          <w:tcPr>
            <w:tcW w:w="5450" w:type="dxa"/>
            <w:tcBorders>
              <w:top w:val="nil"/>
              <w:left w:val="single" w:sz="4" w:space="0" w:color="auto"/>
              <w:bottom w:val="nil"/>
              <w:right w:val="single" w:sz="4" w:space="0" w:color="auto"/>
            </w:tcBorders>
            <w:shd w:val="clear" w:color="auto" w:fill="auto"/>
            <w:noWrap/>
            <w:vAlign w:val="bottom"/>
            <w:hideMark/>
          </w:tcPr>
          <w:p w:rsidR="00D07EC6" w:rsidRPr="00D07EC6" w:rsidRDefault="00D07EC6" w:rsidP="00D07EC6">
            <w:pPr>
              <w:rPr>
                <w:rFonts w:ascii="Calibri" w:hAnsi="Calibri"/>
                <w:color w:val="000000"/>
                <w:sz w:val="22"/>
                <w:szCs w:val="22"/>
              </w:rPr>
            </w:pPr>
            <w:r w:rsidRPr="00D07EC6">
              <w:rPr>
                <w:rFonts w:ascii="Calibri" w:hAnsi="Calibri"/>
                <w:color w:val="000000"/>
                <w:sz w:val="22"/>
                <w:szCs w:val="22"/>
              </w:rPr>
              <w:t>Wanted new or better home/ apartment</w:t>
            </w:r>
          </w:p>
        </w:tc>
        <w:tc>
          <w:tcPr>
            <w:tcW w:w="1189"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11.1</w:t>
            </w:r>
          </w:p>
        </w:tc>
        <w:tc>
          <w:tcPr>
            <w:tcW w:w="1395"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12.4</w:t>
            </w:r>
          </w:p>
        </w:tc>
        <w:tc>
          <w:tcPr>
            <w:tcW w:w="1393"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10.5</w:t>
            </w:r>
          </w:p>
        </w:tc>
        <w:tc>
          <w:tcPr>
            <w:tcW w:w="1356"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16.5</w:t>
            </w:r>
          </w:p>
        </w:tc>
        <w:tc>
          <w:tcPr>
            <w:tcW w:w="1522"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17.4</w:t>
            </w:r>
          </w:p>
        </w:tc>
        <w:tc>
          <w:tcPr>
            <w:tcW w:w="1799"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28.8</w:t>
            </w:r>
          </w:p>
        </w:tc>
      </w:tr>
      <w:tr w:rsidR="005B3406" w:rsidRPr="00D07EC6" w:rsidTr="004504C1">
        <w:trPr>
          <w:trHeight w:val="259"/>
        </w:trPr>
        <w:tc>
          <w:tcPr>
            <w:tcW w:w="5450" w:type="dxa"/>
            <w:tcBorders>
              <w:top w:val="nil"/>
              <w:left w:val="single" w:sz="4" w:space="0" w:color="auto"/>
              <w:bottom w:val="nil"/>
              <w:right w:val="single" w:sz="4" w:space="0" w:color="auto"/>
            </w:tcBorders>
            <w:shd w:val="clear" w:color="auto" w:fill="auto"/>
            <w:noWrap/>
            <w:vAlign w:val="bottom"/>
            <w:hideMark/>
          </w:tcPr>
          <w:p w:rsidR="00D07EC6" w:rsidRPr="00D07EC6" w:rsidRDefault="00D07EC6" w:rsidP="00D07EC6">
            <w:pPr>
              <w:rPr>
                <w:rFonts w:ascii="Calibri" w:hAnsi="Calibri"/>
                <w:color w:val="000000"/>
                <w:sz w:val="22"/>
                <w:szCs w:val="22"/>
              </w:rPr>
            </w:pPr>
            <w:r w:rsidRPr="00D07EC6">
              <w:rPr>
                <w:rFonts w:ascii="Calibri" w:hAnsi="Calibri"/>
                <w:color w:val="000000"/>
                <w:sz w:val="22"/>
                <w:szCs w:val="22"/>
              </w:rPr>
              <w:t>Wanted better neighborhood /less crime</w:t>
            </w:r>
          </w:p>
        </w:tc>
        <w:tc>
          <w:tcPr>
            <w:tcW w:w="1189"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2.1</w:t>
            </w:r>
          </w:p>
        </w:tc>
        <w:tc>
          <w:tcPr>
            <w:tcW w:w="1395"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2.3</w:t>
            </w:r>
          </w:p>
        </w:tc>
        <w:tc>
          <w:tcPr>
            <w:tcW w:w="1393"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6.8</w:t>
            </w:r>
          </w:p>
        </w:tc>
        <w:tc>
          <w:tcPr>
            <w:tcW w:w="1356"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2.9</w:t>
            </w:r>
          </w:p>
        </w:tc>
        <w:tc>
          <w:tcPr>
            <w:tcW w:w="1522"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3.1</w:t>
            </w:r>
          </w:p>
        </w:tc>
        <w:tc>
          <w:tcPr>
            <w:tcW w:w="1799"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27.2</w:t>
            </w:r>
          </w:p>
        </w:tc>
      </w:tr>
      <w:tr w:rsidR="005B3406" w:rsidRPr="00D07EC6" w:rsidTr="004504C1">
        <w:trPr>
          <w:trHeight w:val="259"/>
        </w:trPr>
        <w:tc>
          <w:tcPr>
            <w:tcW w:w="5450" w:type="dxa"/>
            <w:tcBorders>
              <w:top w:val="nil"/>
              <w:left w:val="single" w:sz="4" w:space="0" w:color="auto"/>
              <w:bottom w:val="nil"/>
              <w:right w:val="single" w:sz="4" w:space="0" w:color="auto"/>
            </w:tcBorders>
            <w:shd w:val="clear" w:color="auto" w:fill="auto"/>
            <w:noWrap/>
            <w:vAlign w:val="bottom"/>
            <w:hideMark/>
          </w:tcPr>
          <w:p w:rsidR="00D07EC6" w:rsidRPr="00D07EC6" w:rsidRDefault="00D07EC6" w:rsidP="00D07EC6">
            <w:pPr>
              <w:rPr>
                <w:rFonts w:ascii="Calibri" w:hAnsi="Calibri"/>
                <w:color w:val="000000"/>
                <w:sz w:val="22"/>
                <w:szCs w:val="22"/>
              </w:rPr>
            </w:pPr>
            <w:r w:rsidRPr="00D07EC6">
              <w:rPr>
                <w:rFonts w:ascii="Calibri" w:hAnsi="Calibri"/>
                <w:color w:val="000000"/>
                <w:sz w:val="22"/>
                <w:szCs w:val="22"/>
              </w:rPr>
              <w:t>Wanted cheaper housing</w:t>
            </w:r>
          </w:p>
        </w:tc>
        <w:tc>
          <w:tcPr>
            <w:tcW w:w="1189"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7.3</w:t>
            </w:r>
          </w:p>
        </w:tc>
        <w:tc>
          <w:tcPr>
            <w:tcW w:w="1395"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7.6</w:t>
            </w:r>
          </w:p>
        </w:tc>
        <w:tc>
          <w:tcPr>
            <w:tcW w:w="1393"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3.9</w:t>
            </w:r>
          </w:p>
        </w:tc>
        <w:tc>
          <w:tcPr>
            <w:tcW w:w="1356"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7.5</w:t>
            </w:r>
          </w:p>
        </w:tc>
        <w:tc>
          <w:tcPr>
            <w:tcW w:w="1522"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8.2</w:t>
            </w:r>
          </w:p>
        </w:tc>
        <w:tc>
          <w:tcPr>
            <w:tcW w:w="1799"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6.8</w:t>
            </w:r>
          </w:p>
        </w:tc>
      </w:tr>
      <w:tr w:rsidR="005B3406" w:rsidRPr="00D07EC6" w:rsidTr="004504C1">
        <w:trPr>
          <w:trHeight w:val="259"/>
        </w:trPr>
        <w:tc>
          <w:tcPr>
            <w:tcW w:w="5450" w:type="dxa"/>
            <w:tcBorders>
              <w:top w:val="nil"/>
              <w:left w:val="single" w:sz="4" w:space="0" w:color="auto"/>
              <w:bottom w:val="nil"/>
              <w:right w:val="single" w:sz="4" w:space="0" w:color="auto"/>
            </w:tcBorders>
            <w:shd w:val="clear" w:color="auto" w:fill="auto"/>
            <w:noWrap/>
            <w:vAlign w:val="bottom"/>
            <w:hideMark/>
          </w:tcPr>
          <w:p w:rsidR="00D07EC6" w:rsidRPr="00D07EC6" w:rsidRDefault="00D07EC6" w:rsidP="00D07EC6">
            <w:pPr>
              <w:rPr>
                <w:rFonts w:ascii="Calibri" w:hAnsi="Calibri"/>
                <w:color w:val="000000"/>
                <w:sz w:val="22"/>
                <w:szCs w:val="22"/>
              </w:rPr>
            </w:pPr>
            <w:r w:rsidRPr="00D07EC6">
              <w:rPr>
                <w:rFonts w:ascii="Calibri" w:hAnsi="Calibri"/>
                <w:color w:val="000000"/>
                <w:sz w:val="22"/>
                <w:szCs w:val="22"/>
              </w:rPr>
              <w:t>Foreclosure/eviction</w:t>
            </w:r>
          </w:p>
        </w:tc>
        <w:tc>
          <w:tcPr>
            <w:tcW w:w="1189"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1.0</w:t>
            </w:r>
          </w:p>
        </w:tc>
        <w:tc>
          <w:tcPr>
            <w:tcW w:w="1395"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1.1</w:t>
            </w:r>
          </w:p>
        </w:tc>
        <w:tc>
          <w:tcPr>
            <w:tcW w:w="1393"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2.6</w:t>
            </w:r>
          </w:p>
        </w:tc>
        <w:tc>
          <w:tcPr>
            <w:tcW w:w="1356"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1.0</w:t>
            </w:r>
          </w:p>
        </w:tc>
        <w:tc>
          <w:tcPr>
            <w:tcW w:w="1522"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0.9</w:t>
            </w:r>
          </w:p>
        </w:tc>
        <w:tc>
          <w:tcPr>
            <w:tcW w:w="1799"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-23.6</w:t>
            </w:r>
          </w:p>
        </w:tc>
      </w:tr>
      <w:tr w:rsidR="005B3406" w:rsidRPr="00D07EC6" w:rsidTr="004504C1">
        <w:trPr>
          <w:trHeight w:val="259"/>
        </w:trPr>
        <w:tc>
          <w:tcPr>
            <w:tcW w:w="5450" w:type="dxa"/>
            <w:tcBorders>
              <w:top w:val="nil"/>
              <w:left w:val="single" w:sz="4" w:space="0" w:color="auto"/>
              <w:bottom w:val="nil"/>
              <w:right w:val="single" w:sz="4" w:space="0" w:color="auto"/>
            </w:tcBorders>
            <w:shd w:val="clear" w:color="auto" w:fill="auto"/>
            <w:noWrap/>
            <w:vAlign w:val="bottom"/>
            <w:hideMark/>
          </w:tcPr>
          <w:p w:rsidR="00D07EC6" w:rsidRPr="00D07EC6" w:rsidRDefault="00D07EC6" w:rsidP="00D07EC6">
            <w:pPr>
              <w:rPr>
                <w:rFonts w:ascii="Calibri" w:hAnsi="Calibri"/>
                <w:b/>
                <w:bCs/>
                <w:color w:val="000000"/>
                <w:sz w:val="22"/>
                <w:szCs w:val="22"/>
              </w:rPr>
            </w:pPr>
            <w:r w:rsidRPr="00D07EC6">
              <w:rPr>
                <w:rFonts w:ascii="Calibri" w:hAnsi="Calibri"/>
                <w:b/>
                <w:bCs/>
                <w:color w:val="000000"/>
                <w:sz w:val="22"/>
                <w:szCs w:val="22"/>
              </w:rPr>
              <w:t>Other housing reason/5</w:t>
            </w:r>
          </w:p>
        </w:tc>
        <w:tc>
          <w:tcPr>
            <w:tcW w:w="1189"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b/>
                <w:bCs/>
                <w:color w:val="000000"/>
                <w:sz w:val="22"/>
                <w:szCs w:val="22"/>
              </w:rPr>
            </w:pPr>
            <w:r w:rsidRPr="00D07EC6">
              <w:rPr>
                <w:rFonts w:ascii="Calibri" w:hAnsi="Calibri"/>
                <w:b/>
                <w:bCs/>
                <w:color w:val="000000"/>
                <w:sz w:val="22"/>
                <w:szCs w:val="22"/>
              </w:rPr>
              <w:t>4.4</w:t>
            </w:r>
          </w:p>
        </w:tc>
        <w:tc>
          <w:tcPr>
            <w:tcW w:w="1395"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b/>
                <w:bCs/>
                <w:color w:val="000000"/>
                <w:sz w:val="22"/>
                <w:szCs w:val="22"/>
              </w:rPr>
            </w:pPr>
            <w:r w:rsidRPr="00D07EC6">
              <w:rPr>
                <w:rFonts w:ascii="Calibri" w:hAnsi="Calibri"/>
                <w:b/>
                <w:bCs/>
                <w:color w:val="000000"/>
                <w:sz w:val="22"/>
                <w:szCs w:val="22"/>
              </w:rPr>
              <w:t>5.3</w:t>
            </w:r>
          </w:p>
        </w:tc>
        <w:tc>
          <w:tcPr>
            <w:tcW w:w="1393"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17.7</w:t>
            </w:r>
          </w:p>
        </w:tc>
        <w:tc>
          <w:tcPr>
            <w:tcW w:w="1356"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b/>
                <w:bCs/>
                <w:color w:val="000000"/>
                <w:sz w:val="22"/>
                <w:szCs w:val="22"/>
              </w:rPr>
            </w:pPr>
            <w:r w:rsidRPr="00D07EC6">
              <w:rPr>
                <w:rFonts w:ascii="Calibri" w:hAnsi="Calibri"/>
                <w:b/>
                <w:bCs/>
                <w:color w:val="000000"/>
                <w:sz w:val="22"/>
                <w:szCs w:val="22"/>
              </w:rPr>
              <w:t>7.1</w:t>
            </w:r>
          </w:p>
        </w:tc>
        <w:tc>
          <w:tcPr>
            <w:tcW w:w="1522"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b/>
                <w:bCs/>
                <w:color w:val="000000"/>
                <w:sz w:val="22"/>
                <w:szCs w:val="22"/>
              </w:rPr>
            </w:pPr>
            <w:r w:rsidRPr="00D07EC6">
              <w:rPr>
                <w:rFonts w:ascii="Calibri" w:hAnsi="Calibri"/>
                <w:b/>
                <w:bCs/>
                <w:color w:val="000000"/>
                <w:sz w:val="22"/>
                <w:szCs w:val="22"/>
              </w:rPr>
              <w:t>6.7</w:t>
            </w:r>
          </w:p>
        </w:tc>
        <w:tc>
          <w:tcPr>
            <w:tcW w:w="1799"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20.3</w:t>
            </w:r>
          </w:p>
        </w:tc>
      </w:tr>
      <w:tr w:rsidR="005B3406" w:rsidRPr="00D07EC6" w:rsidTr="004504C1">
        <w:trPr>
          <w:trHeight w:val="259"/>
        </w:trPr>
        <w:tc>
          <w:tcPr>
            <w:tcW w:w="5450" w:type="dxa"/>
            <w:tcBorders>
              <w:top w:val="nil"/>
              <w:left w:val="single" w:sz="4" w:space="0" w:color="auto"/>
              <w:bottom w:val="nil"/>
              <w:right w:val="single" w:sz="4" w:space="0" w:color="auto"/>
            </w:tcBorders>
            <w:shd w:val="clear" w:color="auto" w:fill="auto"/>
            <w:noWrap/>
            <w:vAlign w:val="bottom"/>
            <w:hideMark/>
          </w:tcPr>
          <w:p w:rsidR="00D07EC6" w:rsidRPr="00D07EC6" w:rsidRDefault="00D07EC6" w:rsidP="00D07EC6">
            <w:pPr>
              <w:rPr>
                <w:rFonts w:ascii="Calibri" w:hAnsi="Calibri"/>
                <w:color w:val="000000"/>
                <w:sz w:val="22"/>
                <w:szCs w:val="22"/>
              </w:rPr>
            </w:pPr>
            <w:r w:rsidRPr="00D07EC6">
              <w:rPr>
                <w:rFonts w:ascii="Calibri" w:hAnsi="Calibri"/>
                <w:color w:val="000000"/>
                <w:sz w:val="22"/>
                <w:szCs w:val="22"/>
              </w:rPr>
              <w:t>To attend or leave college</w:t>
            </w:r>
          </w:p>
        </w:tc>
        <w:tc>
          <w:tcPr>
            <w:tcW w:w="1189"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4.6</w:t>
            </w:r>
          </w:p>
        </w:tc>
        <w:tc>
          <w:tcPr>
            <w:tcW w:w="1395"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4.9</w:t>
            </w:r>
          </w:p>
        </w:tc>
        <w:tc>
          <w:tcPr>
            <w:tcW w:w="1393"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6.3</w:t>
            </w:r>
          </w:p>
        </w:tc>
        <w:tc>
          <w:tcPr>
            <w:tcW w:w="1356"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3.1</w:t>
            </w:r>
          </w:p>
        </w:tc>
        <w:tc>
          <w:tcPr>
            <w:tcW w:w="1522"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3.2</w:t>
            </w:r>
          </w:p>
        </w:tc>
        <w:tc>
          <w:tcPr>
            <w:tcW w:w="1799"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-51.3</w:t>
            </w:r>
          </w:p>
        </w:tc>
      </w:tr>
      <w:tr w:rsidR="005B3406" w:rsidRPr="00D07EC6" w:rsidTr="004504C1">
        <w:trPr>
          <w:trHeight w:val="259"/>
        </w:trPr>
        <w:tc>
          <w:tcPr>
            <w:tcW w:w="5450" w:type="dxa"/>
            <w:tcBorders>
              <w:top w:val="nil"/>
              <w:left w:val="single" w:sz="4" w:space="0" w:color="auto"/>
              <w:bottom w:val="nil"/>
              <w:right w:val="single" w:sz="4" w:space="0" w:color="auto"/>
            </w:tcBorders>
            <w:shd w:val="clear" w:color="auto" w:fill="auto"/>
            <w:noWrap/>
            <w:vAlign w:val="bottom"/>
            <w:hideMark/>
          </w:tcPr>
          <w:p w:rsidR="00D07EC6" w:rsidRPr="00D07EC6" w:rsidRDefault="00D07EC6" w:rsidP="00D07EC6">
            <w:pPr>
              <w:rPr>
                <w:rFonts w:ascii="Calibri" w:hAnsi="Calibri"/>
                <w:color w:val="000000"/>
                <w:sz w:val="22"/>
                <w:szCs w:val="22"/>
              </w:rPr>
            </w:pPr>
            <w:r w:rsidRPr="00D07EC6">
              <w:rPr>
                <w:rFonts w:ascii="Calibri" w:hAnsi="Calibri"/>
                <w:color w:val="000000"/>
                <w:sz w:val="22"/>
                <w:szCs w:val="22"/>
              </w:rPr>
              <w:t>Change of climate</w:t>
            </w:r>
          </w:p>
        </w:tc>
        <w:tc>
          <w:tcPr>
            <w:tcW w:w="1189"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0.4</w:t>
            </w:r>
          </w:p>
        </w:tc>
        <w:tc>
          <w:tcPr>
            <w:tcW w:w="1395"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0.5</w:t>
            </w:r>
          </w:p>
        </w:tc>
        <w:tc>
          <w:tcPr>
            <w:tcW w:w="1393"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8.8</w:t>
            </w:r>
          </w:p>
        </w:tc>
        <w:tc>
          <w:tcPr>
            <w:tcW w:w="1356"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0.7</w:t>
            </w:r>
          </w:p>
        </w:tc>
        <w:tc>
          <w:tcPr>
            <w:tcW w:w="1522"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0.8</w:t>
            </w:r>
          </w:p>
        </w:tc>
        <w:tc>
          <w:tcPr>
            <w:tcW w:w="1799"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37.3</w:t>
            </w:r>
          </w:p>
        </w:tc>
      </w:tr>
      <w:tr w:rsidR="005B3406" w:rsidRPr="00D07EC6" w:rsidTr="004504C1">
        <w:trPr>
          <w:trHeight w:val="259"/>
        </w:trPr>
        <w:tc>
          <w:tcPr>
            <w:tcW w:w="5450" w:type="dxa"/>
            <w:tcBorders>
              <w:top w:val="nil"/>
              <w:left w:val="single" w:sz="4" w:space="0" w:color="auto"/>
              <w:bottom w:val="nil"/>
              <w:right w:val="single" w:sz="4" w:space="0" w:color="auto"/>
            </w:tcBorders>
            <w:shd w:val="clear" w:color="auto" w:fill="auto"/>
            <w:noWrap/>
            <w:vAlign w:val="bottom"/>
            <w:hideMark/>
          </w:tcPr>
          <w:p w:rsidR="00D07EC6" w:rsidRPr="00D07EC6" w:rsidRDefault="00D07EC6" w:rsidP="00D07EC6">
            <w:pPr>
              <w:rPr>
                <w:rFonts w:ascii="Calibri" w:hAnsi="Calibri"/>
                <w:color w:val="000000"/>
                <w:sz w:val="22"/>
                <w:szCs w:val="22"/>
              </w:rPr>
            </w:pPr>
            <w:r w:rsidRPr="00D07EC6">
              <w:rPr>
                <w:rFonts w:ascii="Calibri" w:hAnsi="Calibri"/>
                <w:color w:val="000000"/>
                <w:sz w:val="22"/>
                <w:szCs w:val="22"/>
              </w:rPr>
              <w:t>Health reasons</w:t>
            </w:r>
          </w:p>
        </w:tc>
        <w:tc>
          <w:tcPr>
            <w:tcW w:w="1189"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1.9</w:t>
            </w:r>
          </w:p>
        </w:tc>
        <w:tc>
          <w:tcPr>
            <w:tcW w:w="1395"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2.2</w:t>
            </w:r>
          </w:p>
        </w:tc>
        <w:tc>
          <w:tcPr>
            <w:tcW w:w="1393"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14.6</w:t>
            </w:r>
          </w:p>
        </w:tc>
        <w:tc>
          <w:tcPr>
            <w:tcW w:w="1356"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1.6</w:t>
            </w:r>
          </w:p>
        </w:tc>
        <w:tc>
          <w:tcPr>
            <w:tcW w:w="1522"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1.8</w:t>
            </w:r>
          </w:p>
        </w:tc>
        <w:tc>
          <w:tcPr>
            <w:tcW w:w="1799"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-24.8</w:t>
            </w:r>
          </w:p>
        </w:tc>
      </w:tr>
      <w:tr w:rsidR="005B3406" w:rsidRPr="00D07EC6" w:rsidTr="004504C1">
        <w:trPr>
          <w:trHeight w:val="259"/>
        </w:trPr>
        <w:tc>
          <w:tcPr>
            <w:tcW w:w="5450" w:type="dxa"/>
            <w:tcBorders>
              <w:top w:val="nil"/>
              <w:left w:val="single" w:sz="4" w:space="0" w:color="auto"/>
              <w:bottom w:val="nil"/>
              <w:right w:val="single" w:sz="4" w:space="0" w:color="auto"/>
            </w:tcBorders>
            <w:shd w:val="clear" w:color="auto" w:fill="auto"/>
            <w:noWrap/>
            <w:vAlign w:val="bottom"/>
            <w:hideMark/>
          </w:tcPr>
          <w:p w:rsidR="00D07EC6" w:rsidRPr="00D07EC6" w:rsidRDefault="00D07EC6" w:rsidP="00D07EC6">
            <w:pPr>
              <w:rPr>
                <w:rFonts w:ascii="Calibri" w:hAnsi="Calibri"/>
                <w:color w:val="000000"/>
                <w:sz w:val="22"/>
                <w:szCs w:val="22"/>
              </w:rPr>
            </w:pPr>
            <w:r w:rsidRPr="00D07EC6">
              <w:rPr>
                <w:rFonts w:ascii="Calibri" w:hAnsi="Calibri"/>
                <w:color w:val="000000"/>
                <w:sz w:val="22"/>
                <w:szCs w:val="22"/>
              </w:rPr>
              <w:t>Natural disaster</w:t>
            </w:r>
          </w:p>
        </w:tc>
        <w:tc>
          <w:tcPr>
            <w:tcW w:w="1189"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0.1</w:t>
            </w:r>
          </w:p>
        </w:tc>
        <w:tc>
          <w:tcPr>
            <w:tcW w:w="1395"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0.1</w:t>
            </w:r>
          </w:p>
        </w:tc>
        <w:tc>
          <w:tcPr>
            <w:tcW w:w="1393"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0.0</w:t>
            </w:r>
          </w:p>
        </w:tc>
        <w:tc>
          <w:tcPr>
            <w:tcW w:w="1356"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0.1</w:t>
            </w:r>
          </w:p>
        </w:tc>
        <w:tc>
          <w:tcPr>
            <w:tcW w:w="1522"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0.0</w:t>
            </w:r>
          </w:p>
        </w:tc>
        <w:tc>
          <w:tcPr>
            <w:tcW w:w="1799"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-70.8</w:t>
            </w:r>
          </w:p>
        </w:tc>
      </w:tr>
      <w:tr w:rsidR="005B3406" w:rsidRPr="00D07EC6" w:rsidTr="004504C1">
        <w:trPr>
          <w:trHeight w:val="259"/>
        </w:trPr>
        <w:tc>
          <w:tcPr>
            <w:tcW w:w="5450" w:type="dxa"/>
            <w:tcBorders>
              <w:top w:val="nil"/>
              <w:left w:val="single" w:sz="4" w:space="0" w:color="auto"/>
              <w:bottom w:val="nil"/>
              <w:right w:val="single" w:sz="4" w:space="0" w:color="auto"/>
            </w:tcBorders>
            <w:shd w:val="clear" w:color="auto" w:fill="auto"/>
            <w:noWrap/>
            <w:vAlign w:val="bottom"/>
            <w:hideMark/>
          </w:tcPr>
          <w:p w:rsidR="00D07EC6" w:rsidRPr="00D07EC6" w:rsidRDefault="00D07EC6" w:rsidP="00D07EC6">
            <w:pPr>
              <w:rPr>
                <w:rFonts w:ascii="Calibri" w:hAnsi="Calibri"/>
                <w:b/>
                <w:bCs/>
                <w:color w:val="000000"/>
                <w:sz w:val="22"/>
                <w:szCs w:val="22"/>
              </w:rPr>
            </w:pPr>
            <w:r w:rsidRPr="00D07EC6">
              <w:rPr>
                <w:rFonts w:ascii="Calibri" w:hAnsi="Calibri"/>
                <w:b/>
                <w:bCs/>
                <w:color w:val="000000"/>
                <w:sz w:val="22"/>
                <w:szCs w:val="22"/>
              </w:rPr>
              <w:t>Other reason/5</w:t>
            </w:r>
          </w:p>
        </w:tc>
        <w:tc>
          <w:tcPr>
            <w:tcW w:w="1189"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b/>
                <w:bCs/>
                <w:color w:val="000000"/>
                <w:sz w:val="22"/>
                <w:szCs w:val="22"/>
              </w:rPr>
            </w:pPr>
            <w:r w:rsidRPr="00D07EC6">
              <w:rPr>
                <w:rFonts w:ascii="Calibri" w:hAnsi="Calibri"/>
                <w:b/>
                <w:bCs/>
                <w:color w:val="000000"/>
                <w:sz w:val="22"/>
                <w:szCs w:val="22"/>
              </w:rPr>
              <w:t>11.6</w:t>
            </w:r>
          </w:p>
        </w:tc>
        <w:tc>
          <w:tcPr>
            <w:tcW w:w="1395"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b/>
                <w:bCs/>
                <w:color w:val="000000"/>
                <w:sz w:val="22"/>
                <w:szCs w:val="22"/>
              </w:rPr>
            </w:pPr>
            <w:r w:rsidRPr="00D07EC6">
              <w:rPr>
                <w:rFonts w:ascii="Calibri" w:hAnsi="Calibri"/>
                <w:b/>
                <w:bCs/>
                <w:color w:val="000000"/>
                <w:sz w:val="22"/>
                <w:szCs w:val="22"/>
              </w:rPr>
              <w:t>7.2</w:t>
            </w:r>
          </w:p>
        </w:tc>
        <w:tc>
          <w:tcPr>
            <w:tcW w:w="1393"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-60.3</w:t>
            </w:r>
          </w:p>
        </w:tc>
        <w:tc>
          <w:tcPr>
            <w:tcW w:w="1356"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b/>
                <w:bCs/>
                <w:color w:val="000000"/>
                <w:sz w:val="22"/>
                <w:szCs w:val="22"/>
              </w:rPr>
            </w:pPr>
            <w:r w:rsidRPr="00D07EC6">
              <w:rPr>
                <w:rFonts w:ascii="Calibri" w:hAnsi="Calibri"/>
                <w:b/>
                <w:bCs/>
                <w:color w:val="000000"/>
                <w:sz w:val="22"/>
                <w:szCs w:val="22"/>
              </w:rPr>
              <w:t>4.6</w:t>
            </w:r>
          </w:p>
        </w:tc>
        <w:tc>
          <w:tcPr>
            <w:tcW w:w="1522"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b/>
                <w:bCs/>
                <w:color w:val="000000"/>
                <w:sz w:val="22"/>
                <w:szCs w:val="22"/>
              </w:rPr>
            </w:pPr>
            <w:r w:rsidRPr="00D07EC6">
              <w:rPr>
                <w:rFonts w:ascii="Calibri" w:hAnsi="Calibri"/>
                <w:b/>
                <w:bCs/>
                <w:color w:val="000000"/>
                <w:sz w:val="22"/>
                <w:szCs w:val="22"/>
              </w:rPr>
              <w:t>4.4</w:t>
            </w:r>
          </w:p>
        </w:tc>
        <w:tc>
          <w:tcPr>
            <w:tcW w:w="1799" w:type="dxa"/>
            <w:tcBorders>
              <w:top w:val="nil"/>
              <w:left w:val="nil"/>
              <w:bottom w:val="nil"/>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-65.3</w:t>
            </w:r>
          </w:p>
        </w:tc>
      </w:tr>
      <w:tr w:rsidR="005B3406" w:rsidRPr="00D07EC6" w:rsidTr="004504C1">
        <w:trPr>
          <w:trHeight w:val="259"/>
        </w:trPr>
        <w:tc>
          <w:tcPr>
            <w:tcW w:w="5450" w:type="dxa"/>
            <w:tcBorders>
              <w:top w:val="nil"/>
              <w:left w:val="single" w:sz="4" w:space="0" w:color="auto"/>
              <w:bottom w:val="nil"/>
              <w:right w:val="single" w:sz="4" w:space="0" w:color="auto"/>
            </w:tcBorders>
            <w:shd w:val="clear" w:color="auto" w:fill="auto"/>
            <w:noWrap/>
            <w:vAlign w:val="bottom"/>
            <w:hideMark/>
          </w:tcPr>
          <w:p w:rsidR="00D07EC6" w:rsidRPr="00D07EC6" w:rsidRDefault="00D07EC6" w:rsidP="00D07EC6">
            <w:pPr>
              <w:rPr>
                <w:rFonts w:ascii="Calibri" w:hAnsi="Calibri"/>
                <w:b/>
                <w:bCs/>
                <w:color w:val="000000"/>
                <w:sz w:val="22"/>
                <w:szCs w:val="22"/>
              </w:rPr>
            </w:pPr>
            <w:r w:rsidRPr="00D07EC6">
              <w:rPr>
                <w:rFonts w:ascii="Calibri" w:hAnsi="Calibri"/>
                <w:b/>
                <w:bCs/>
                <w:color w:val="000000"/>
                <w:sz w:val="22"/>
                <w:szCs w:val="22"/>
              </w:rPr>
              <w:t> </w:t>
            </w:r>
          </w:p>
        </w:tc>
        <w:tc>
          <w:tcPr>
            <w:tcW w:w="1189" w:type="dxa"/>
            <w:tcBorders>
              <w:top w:val="nil"/>
              <w:left w:val="nil"/>
              <w:bottom w:val="nil"/>
              <w:right w:val="single" w:sz="4" w:space="0" w:color="auto"/>
            </w:tcBorders>
            <w:shd w:val="clear" w:color="auto" w:fill="auto"/>
            <w:noWrap/>
            <w:vAlign w:val="bottom"/>
            <w:hideMark/>
          </w:tcPr>
          <w:p w:rsidR="00D07EC6" w:rsidRPr="00D07EC6" w:rsidRDefault="00D07EC6" w:rsidP="00D07EC6">
            <w:pPr>
              <w:rPr>
                <w:rFonts w:ascii="Calibri" w:hAnsi="Calibri"/>
                <w:b/>
                <w:bCs/>
                <w:color w:val="000000"/>
                <w:sz w:val="22"/>
                <w:szCs w:val="22"/>
              </w:rPr>
            </w:pPr>
            <w:r w:rsidRPr="00D07EC6">
              <w:rPr>
                <w:rFonts w:ascii="Calibri" w:hAnsi="Calibri"/>
                <w:b/>
                <w:bCs/>
                <w:color w:val="000000"/>
                <w:sz w:val="22"/>
                <w:szCs w:val="22"/>
              </w:rPr>
              <w:t> </w:t>
            </w:r>
          </w:p>
        </w:tc>
        <w:tc>
          <w:tcPr>
            <w:tcW w:w="1395" w:type="dxa"/>
            <w:tcBorders>
              <w:top w:val="nil"/>
              <w:left w:val="nil"/>
              <w:bottom w:val="nil"/>
              <w:right w:val="single" w:sz="4" w:space="0" w:color="auto"/>
            </w:tcBorders>
            <w:shd w:val="clear" w:color="auto" w:fill="auto"/>
            <w:noWrap/>
            <w:vAlign w:val="bottom"/>
            <w:hideMark/>
          </w:tcPr>
          <w:p w:rsidR="00D07EC6" w:rsidRPr="00D07EC6" w:rsidRDefault="00D07EC6" w:rsidP="00D07EC6">
            <w:pPr>
              <w:rPr>
                <w:rFonts w:ascii="Calibri" w:hAnsi="Calibri"/>
                <w:b/>
                <w:bCs/>
                <w:color w:val="000000"/>
                <w:sz w:val="22"/>
                <w:szCs w:val="22"/>
              </w:rPr>
            </w:pPr>
            <w:r w:rsidRPr="00D07EC6">
              <w:rPr>
                <w:rFonts w:ascii="Calibri" w:hAnsi="Calibri"/>
                <w:b/>
                <w:bCs/>
                <w:color w:val="000000"/>
                <w:sz w:val="22"/>
                <w:szCs w:val="22"/>
              </w:rPr>
              <w:t> </w:t>
            </w:r>
          </w:p>
        </w:tc>
        <w:tc>
          <w:tcPr>
            <w:tcW w:w="1393" w:type="dxa"/>
            <w:tcBorders>
              <w:top w:val="nil"/>
              <w:left w:val="nil"/>
              <w:bottom w:val="nil"/>
              <w:right w:val="single" w:sz="4" w:space="0" w:color="auto"/>
            </w:tcBorders>
            <w:shd w:val="clear" w:color="auto" w:fill="auto"/>
            <w:noWrap/>
            <w:vAlign w:val="bottom"/>
            <w:hideMark/>
          </w:tcPr>
          <w:p w:rsidR="00D07EC6" w:rsidRPr="00D07EC6" w:rsidRDefault="00D07EC6" w:rsidP="00D07EC6">
            <w:pPr>
              <w:rPr>
                <w:rFonts w:ascii="Calibri" w:hAnsi="Calibri"/>
                <w:color w:val="000000"/>
                <w:sz w:val="22"/>
                <w:szCs w:val="22"/>
              </w:rPr>
            </w:pPr>
            <w:r w:rsidRPr="00D07EC6">
              <w:rPr>
                <w:rFonts w:ascii="Calibri" w:hAnsi="Calibri"/>
                <w:color w:val="000000"/>
                <w:sz w:val="22"/>
                <w:szCs w:val="22"/>
              </w:rPr>
              <w:t> </w:t>
            </w:r>
          </w:p>
        </w:tc>
        <w:tc>
          <w:tcPr>
            <w:tcW w:w="1356" w:type="dxa"/>
            <w:tcBorders>
              <w:top w:val="nil"/>
              <w:left w:val="nil"/>
              <w:bottom w:val="nil"/>
              <w:right w:val="single" w:sz="4" w:space="0" w:color="auto"/>
            </w:tcBorders>
            <w:shd w:val="clear" w:color="auto" w:fill="auto"/>
            <w:noWrap/>
            <w:vAlign w:val="bottom"/>
            <w:hideMark/>
          </w:tcPr>
          <w:p w:rsidR="00D07EC6" w:rsidRPr="00D07EC6" w:rsidRDefault="00D07EC6" w:rsidP="00D07EC6">
            <w:pPr>
              <w:rPr>
                <w:rFonts w:ascii="Calibri" w:hAnsi="Calibri"/>
                <w:b/>
                <w:bCs/>
                <w:color w:val="000000"/>
                <w:sz w:val="22"/>
                <w:szCs w:val="22"/>
              </w:rPr>
            </w:pPr>
            <w:r w:rsidRPr="00D07EC6">
              <w:rPr>
                <w:rFonts w:ascii="Calibri" w:hAnsi="Calibri"/>
                <w:b/>
                <w:bCs/>
                <w:color w:val="000000"/>
                <w:sz w:val="22"/>
                <w:szCs w:val="22"/>
              </w:rPr>
              <w:t> </w:t>
            </w:r>
          </w:p>
        </w:tc>
        <w:tc>
          <w:tcPr>
            <w:tcW w:w="1522" w:type="dxa"/>
            <w:tcBorders>
              <w:top w:val="nil"/>
              <w:left w:val="nil"/>
              <w:bottom w:val="nil"/>
              <w:right w:val="single" w:sz="4" w:space="0" w:color="auto"/>
            </w:tcBorders>
            <w:shd w:val="clear" w:color="auto" w:fill="auto"/>
            <w:noWrap/>
            <w:vAlign w:val="bottom"/>
            <w:hideMark/>
          </w:tcPr>
          <w:p w:rsidR="00D07EC6" w:rsidRPr="00D07EC6" w:rsidRDefault="00D07EC6" w:rsidP="00D07EC6">
            <w:pPr>
              <w:rPr>
                <w:rFonts w:ascii="Calibri" w:hAnsi="Calibri"/>
                <w:b/>
                <w:bCs/>
                <w:color w:val="000000"/>
                <w:sz w:val="22"/>
                <w:szCs w:val="22"/>
              </w:rPr>
            </w:pPr>
            <w:r w:rsidRPr="00D07EC6">
              <w:rPr>
                <w:rFonts w:ascii="Calibri" w:hAnsi="Calibri"/>
                <w:b/>
                <w:bCs/>
                <w:color w:val="000000"/>
                <w:sz w:val="22"/>
                <w:szCs w:val="22"/>
              </w:rPr>
              <w:t> </w:t>
            </w:r>
          </w:p>
        </w:tc>
        <w:tc>
          <w:tcPr>
            <w:tcW w:w="1799" w:type="dxa"/>
            <w:tcBorders>
              <w:top w:val="nil"/>
              <w:left w:val="nil"/>
              <w:bottom w:val="nil"/>
              <w:right w:val="single" w:sz="4" w:space="0" w:color="auto"/>
            </w:tcBorders>
            <w:shd w:val="clear" w:color="auto" w:fill="auto"/>
            <w:noWrap/>
            <w:vAlign w:val="bottom"/>
            <w:hideMark/>
          </w:tcPr>
          <w:p w:rsidR="00D07EC6" w:rsidRPr="00D07EC6" w:rsidRDefault="00D07EC6" w:rsidP="00D07EC6">
            <w:pPr>
              <w:rPr>
                <w:rFonts w:ascii="Calibri" w:hAnsi="Calibri"/>
                <w:b/>
                <w:bCs/>
                <w:color w:val="000000"/>
                <w:sz w:val="22"/>
                <w:szCs w:val="22"/>
              </w:rPr>
            </w:pPr>
            <w:r w:rsidRPr="00D07EC6">
              <w:rPr>
                <w:rFonts w:ascii="Calibri" w:hAnsi="Calibri"/>
                <w:b/>
                <w:bCs/>
                <w:color w:val="000000"/>
                <w:sz w:val="22"/>
                <w:szCs w:val="22"/>
              </w:rPr>
              <w:t> </w:t>
            </w:r>
          </w:p>
        </w:tc>
      </w:tr>
      <w:tr w:rsidR="00D07EC6" w:rsidRPr="00D07EC6" w:rsidTr="004504C1">
        <w:trPr>
          <w:trHeight w:val="505"/>
        </w:trPr>
        <w:tc>
          <w:tcPr>
            <w:tcW w:w="5450" w:type="dxa"/>
            <w:tcBorders>
              <w:top w:val="nil"/>
              <w:left w:val="single" w:sz="4" w:space="0" w:color="auto"/>
              <w:bottom w:val="single" w:sz="4" w:space="0" w:color="auto"/>
              <w:right w:val="single" w:sz="4" w:space="0" w:color="auto"/>
            </w:tcBorders>
            <w:shd w:val="clear" w:color="auto" w:fill="auto"/>
            <w:vAlign w:val="bottom"/>
            <w:hideMark/>
          </w:tcPr>
          <w:p w:rsidR="00D07EC6" w:rsidRPr="00D07EC6" w:rsidRDefault="00D07EC6" w:rsidP="00D07EC6">
            <w:pPr>
              <w:rPr>
                <w:rFonts w:ascii="Calibri" w:hAnsi="Calibri"/>
                <w:color w:val="000000"/>
                <w:sz w:val="22"/>
                <w:szCs w:val="22"/>
              </w:rPr>
            </w:pPr>
            <w:r w:rsidRPr="00D07EC6">
              <w:rPr>
                <w:rFonts w:ascii="Calibri" w:hAnsi="Calibri"/>
                <w:color w:val="000000"/>
                <w:sz w:val="22"/>
                <w:szCs w:val="22"/>
              </w:rPr>
              <w:t>Percent in other family, job-related, housing, and other reasons</w:t>
            </w:r>
          </w:p>
        </w:tc>
        <w:tc>
          <w:tcPr>
            <w:tcW w:w="1189" w:type="dxa"/>
            <w:tcBorders>
              <w:top w:val="nil"/>
              <w:left w:val="nil"/>
              <w:bottom w:val="single" w:sz="4" w:space="0" w:color="auto"/>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30.0</w:t>
            </w:r>
          </w:p>
        </w:tc>
        <w:tc>
          <w:tcPr>
            <w:tcW w:w="1395" w:type="dxa"/>
            <w:tcBorders>
              <w:top w:val="nil"/>
              <w:left w:val="nil"/>
              <w:bottom w:val="single" w:sz="4" w:space="0" w:color="auto"/>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25.9</w:t>
            </w:r>
          </w:p>
        </w:tc>
        <w:tc>
          <w:tcPr>
            <w:tcW w:w="1393" w:type="dxa"/>
            <w:tcBorders>
              <w:top w:val="nil"/>
              <w:left w:val="nil"/>
              <w:bottom w:val="single" w:sz="4" w:space="0" w:color="auto"/>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N/A</w:t>
            </w:r>
          </w:p>
        </w:tc>
        <w:tc>
          <w:tcPr>
            <w:tcW w:w="1356" w:type="dxa"/>
            <w:tcBorders>
              <w:top w:val="nil"/>
              <w:left w:val="nil"/>
              <w:bottom w:val="single" w:sz="4" w:space="0" w:color="auto"/>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24.4</w:t>
            </w:r>
          </w:p>
        </w:tc>
        <w:tc>
          <w:tcPr>
            <w:tcW w:w="1522" w:type="dxa"/>
            <w:tcBorders>
              <w:top w:val="nil"/>
              <w:left w:val="nil"/>
              <w:bottom w:val="single" w:sz="4" w:space="0" w:color="auto"/>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22.7</w:t>
            </w:r>
          </w:p>
        </w:tc>
        <w:tc>
          <w:tcPr>
            <w:tcW w:w="1799" w:type="dxa"/>
            <w:tcBorders>
              <w:top w:val="nil"/>
              <w:left w:val="nil"/>
              <w:bottom w:val="single" w:sz="4" w:space="0" w:color="auto"/>
              <w:right w:val="single" w:sz="4" w:space="0" w:color="auto"/>
            </w:tcBorders>
            <w:shd w:val="clear" w:color="auto" w:fill="auto"/>
            <w:noWrap/>
            <w:vAlign w:val="bottom"/>
            <w:hideMark/>
          </w:tcPr>
          <w:p w:rsidR="00D07EC6" w:rsidRPr="00D07EC6" w:rsidRDefault="00D07EC6" w:rsidP="00D07EC6">
            <w:pPr>
              <w:jc w:val="right"/>
              <w:rPr>
                <w:rFonts w:ascii="Calibri" w:hAnsi="Calibri"/>
                <w:color w:val="000000"/>
                <w:sz w:val="22"/>
                <w:szCs w:val="22"/>
              </w:rPr>
            </w:pPr>
            <w:r w:rsidRPr="00D07EC6">
              <w:rPr>
                <w:rFonts w:ascii="Calibri" w:hAnsi="Calibri"/>
                <w:color w:val="000000"/>
                <w:sz w:val="22"/>
                <w:szCs w:val="22"/>
              </w:rPr>
              <w:t>N/A</w:t>
            </w:r>
          </w:p>
        </w:tc>
      </w:tr>
      <w:tr w:rsidR="00D07EC6" w:rsidRPr="00D07EC6" w:rsidTr="004504C1">
        <w:trPr>
          <w:trHeight w:val="440"/>
        </w:trPr>
        <w:tc>
          <w:tcPr>
            <w:tcW w:w="14105" w:type="dxa"/>
            <w:gridSpan w:val="7"/>
            <w:tcBorders>
              <w:top w:val="single" w:sz="4" w:space="0" w:color="auto"/>
              <w:left w:val="nil"/>
              <w:bottom w:val="nil"/>
              <w:right w:val="nil"/>
            </w:tcBorders>
            <w:shd w:val="clear" w:color="auto" w:fill="auto"/>
            <w:vAlign w:val="bottom"/>
            <w:hideMark/>
          </w:tcPr>
          <w:p w:rsidR="00D07EC6" w:rsidRPr="00D07EC6" w:rsidRDefault="00D07EC6" w:rsidP="00D07EC6">
            <w:pPr>
              <w:rPr>
                <w:rFonts w:ascii="Calibri" w:hAnsi="Calibri"/>
                <w:color w:val="000000"/>
                <w:sz w:val="18"/>
                <w:szCs w:val="18"/>
              </w:rPr>
            </w:pPr>
            <w:r w:rsidRPr="00D07EC6">
              <w:rPr>
                <w:rFonts w:ascii="Calibri" w:hAnsi="Calibri"/>
                <w:color w:val="000000"/>
                <w:sz w:val="18"/>
                <w:szCs w:val="18"/>
              </w:rPr>
              <w:t>1/ People who moved with the household and had the same reason for moving are excluded. Movers who did not provide a reason for move are also excluded.</w:t>
            </w:r>
          </w:p>
        </w:tc>
      </w:tr>
      <w:tr w:rsidR="00D07EC6" w:rsidRPr="00D07EC6" w:rsidTr="004504C1">
        <w:trPr>
          <w:trHeight w:val="454"/>
        </w:trPr>
        <w:tc>
          <w:tcPr>
            <w:tcW w:w="14105" w:type="dxa"/>
            <w:gridSpan w:val="7"/>
            <w:tcBorders>
              <w:top w:val="nil"/>
              <w:left w:val="nil"/>
              <w:bottom w:val="nil"/>
              <w:right w:val="nil"/>
            </w:tcBorders>
            <w:shd w:val="clear" w:color="auto" w:fill="auto"/>
            <w:vAlign w:val="bottom"/>
            <w:hideMark/>
          </w:tcPr>
          <w:p w:rsidR="00D07EC6" w:rsidRPr="00D07EC6" w:rsidRDefault="00D07EC6" w:rsidP="00D07EC6">
            <w:pPr>
              <w:rPr>
                <w:rFonts w:ascii="Calibri" w:hAnsi="Calibri"/>
                <w:color w:val="000000"/>
                <w:sz w:val="18"/>
                <w:szCs w:val="18"/>
              </w:rPr>
            </w:pPr>
            <w:r w:rsidRPr="00D07EC6">
              <w:rPr>
                <w:rFonts w:ascii="Calibri" w:hAnsi="Calibri"/>
                <w:color w:val="000000"/>
                <w:sz w:val="18"/>
                <w:szCs w:val="18"/>
              </w:rPr>
              <w:t>2/ Write-in responses can be recoded from one "other" category into a different "other" category. For instance, an "other housing" reason could be recoded to "other reason."</w:t>
            </w:r>
          </w:p>
        </w:tc>
      </w:tr>
      <w:tr w:rsidR="00D07EC6" w:rsidRPr="00D07EC6" w:rsidTr="004504C1">
        <w:trPr>
          <w:trHeight w:val="454"/>
        </w:trPr>
        <w:tc>
          <w:tcPr>
            <w:tcW w:w="14105" w:type="dxa"/>
            <w:gridSpan w:val="7"/>
            <w:tcBorders>
              <w:top w:val="nil"/>
              <w:left w:val="nil"/>
              <w:bottom w:val="nil"/>
              <w:right w:val="nil"/>
            </w:tcBorders>
            <w:shd w:val="clear" w:color="auto" w:fill="auto"/>
            <w:vAlign w:val="bottom"/>
            <w:hideMark/>
          </w:tcPr>
          <w:p w:rsidR="00D07EC6" w:rsidRPr="00D07EC6" w:rsidRDefault="00D07EC6" w:rsidP="00D07EC6">
            <w:pPr>
              <w:rPr>
                <w:rFonts w:ascii="Calibri" w:hAnsi="Calibri"/>
                <w:color w:val="000000"/>
                <w:sz w:val="18"/>
                <w:szCs w:val="18"/>
              </w:rPr>
            </w:pPr>
            <w:r w:rsidRPr="00D07EC6">
              <w:rPr>
                <w:rFonts w:ascii="Calibri" w:hAnsi="Calibri"/>
                <w:color w:val="000000"/>
                <w:sz w:val="18"/>
                <w:szCs w:val="18"/>
              </w:rPr>
              <w:t>3/ The percent changed by coding was calculated as follows: (number of cases after coding – number of cases before coding) divided by the number of cases after coding, which is then multiplied by 100.</w:t>
            </w:r>
          </w:p>
        </w:tc>
      </w:tr>
      <w:tr w:rsidR="00D07EC6" w:rsidRPr="00D07EC6" w:rsidTr="004504C1">
        <w:trPr>
          <w:trHeight w:val="454"/>
        </w:trPr>
        <w:tc>
          <w:tcPr>
            <w:tcW w:w="14105" w:type="dxa"/>
            <w:gridSpan w:val="7"/>
            <w:tcBorders>
              <w:top w:val="nil"/>
              <w:left w:val="nil"/>
              <w:bottom w:val="nil"/>
              <w:right w:val="nil"/>
            </w:tcBorders>
            <w:shd w:val="clear" w:color="auto" w:fill="auto"/>
            <w:vAlign w:val="bottom"/>
            <w:hideMark/>
          </w:tcPr>
          <w:p w:rsidR="00D07EC6" w:rsidRPr="00D07EC6" w:rsidRDefault="00D07EC6" w:rsidP="00D07EC6">
            <w:pPr>
              <w:rPr>
                <w:rFonts w:ascii="Calibri" w:hAnsi="Calibri"/>
                <w:color w:val="000000"/>
                <w:sz w:val="18"/>
                <w:szCs w:val="18"/>
              </w:rPr>
            </w:pPr>
            <w:r w:rsidRPr="00D07EC6">
              <w:rPr>
                <w:rFonts w:ascii="Calibri" w:hAnsi="Calibri"/>
                <w:color w:val="000000"/>
                <w:sz w:val="18"/>
                <w:szCs w:val="18"/>
              </w:rPr>
              <w:t xml:space="preserve">4/ To calculate percent changed by edits and weighting, subtract the after coding number from the after coding, edits, and weighting number, divide the result by the after coding, edits, and weighting number, and multiply by 100. </w:t>
            </w:r>
          </w:p>
        </w:tc>
      </w:tr>
      <w:tr w:rsidR="00D07EC6" w:rsidRPr="00D07EC6" w:rsidTr="004504C1">
        <w:trPr>
          <w:trHeight w:val="259"/>
        </w:trPr>
        <w:tc>
          <w:tcPr>
            <w:tcW w:w="8034" w:type="dxa"/>
            <w:gridSpan w:val="3"/>
            <w:tcBorders>
              <w:top w:val="nil"/>
              <w:left w:val="nil"/>
              <w:bottom w:val="nil"/>
              <w:right w:val="nil"/>
            </w:tcBorders>
            <w:shd w:val="clear" w:color="auto" w:fill="auto"/>
            <w:noWrap/>
            <w:vAlign w:val="bottom"/>
            <w:hideMark/>
          </w:tcPr>
          <w:p w:rsidR="00D07EC6" w:rsidRPr="00D07EC6" w:rsidRDefault="00D07EC6" w:rsidP="00D07EC6">
            <w:pPr>
              <w:rPr>
                <w:rFonts w:ascii="Calibri" w:hAnsi="Calibri"/>
                <w:color w:val="000000"/>
                <w:sz w:val="18"/>
                <w:szCs w:val="18"/>
              </w:rPr>
            </w:pPr>
            <w:r w:rsidRPr="00D07EC6">
              <w:rPr>
                <w:rFonts w:ascii="Calibri" w:hAnsi="Calibri"/>
                <w:color w:val="000000"/>
                <w:sz w:val="18"/>
                <w:szCs w:val="18"/>
              </w:rPr>
              <w:t xml:space="preserve">5/ Write-in information collected for these reasons in 2016. </w:t>
            </w:r>
          </w:p>
        </w:tc>
        <w:tc>
          <w:tcPr>
            <w:tcW w:w="1393" w:type="dxa"/>
            <w:tcBorders>
              <w:top w:val="nil"/>
              <w:left w:val="nil"/>
              <w:bottom w:val="nil"/>
              <w:right w:val="nil"/>
            </w:tcBorders>
            <w:shd w:val="clear" w:color="auto" w:fill="auto"/>
            <w:noWrap/>
            <w:vAlign w:val="bottom"/>
            <w:hideMark/>
          </w:tcPr>
          <w:p w:rsidR="00D07EC6" w:rsidRPr="00D07EC6" w:rsidRDefault="00D07EC6" w:rsidP="00D07EC6">
            <w:pPr>
              <w:rPr>
                <w:rFonts w:ascii="Calibri" w:hAnsi="Calibri"/>
                <w:color w:val="000000"/>
                <w:sz w:val="18"/>
                <w:szCs w:val="18"/>
              </w:rPr>
            </w:pPr>
          </w:p>
        </w:tc>
        <w:tc>
          <w:tcPr>
            <w:tcW w:w="1356" w:type="dxa"/>
            <w:tcBorders>
              <w:top w:val="nil"/>
              <w:left w:val="nil"/>
              <w:bottom w:val="nil"/>
              <w:right w:val="nil"/>
            </w:tcBorders>
            <w:shd w:val="clear" w:color="auto" w:fill="auto"/>
            <w:noWrap/>
            <w:vAlign w:val="bottom"/>
            <w:hideMark/>
          </w:tcPr>
          <w:p w:rsidR="00D07EC6" w:rsidRPr="00D07EC6" w:rsidRDefault="00D07EC6" w:rsidP="00D07EC6">
            <w:pPr>
              <w:rPr>
                <w:rFonts w:ascii="Calibri" w:hAnsi="Calibri"/>
                <w:color w:val="000000"/>
                <w:sz w:val="18"/>
                <w:szCs w:val="18"/>
              </w:rPr>
            </w:pPr>
          </w:p>
        </w:tc>
        <w:tc>
          <w:tcPr>
            <w:tcW w:w="1522" w:type="dxa"/>
            <w:tcBorders>
              <w:top w:val="nil"/>
              <w:left w:val="nil"/>
              <w:bottom w:val="nil"/>
              <w:right w:val="nil"/>
            </w:tcBorders>
            <w:shd w:val="clear" w:color="auto" w:fill="auto"/>
            <w:noWrap/>
            <w:vAlign w:val="bottom"/>
            <w:hideMark/>
          </w:tcPr>
          <w:p w:rsidR="00D07EC6" w:rsidRPr="00D07EC6" w:rsidRDefault="00D07EC6" w:rsidP="00D07EC6">
            <w:pPr>
              <w:rPr>
                <w:rFonts w:ascii="Calibri" w:hAnsi="Calibri"/>
                <w:color w:val="000000"/>
                <w:sz w:val="18"/>
                <w:szCs w:val="18"/>
              </w:rPr>
            </w:pPr>
          </w:p>
        </w:tc>
        <w:tc>
          <w:tcPr>
            <w:tcW w:w="1799" w:type="dxa"/>
            <w:tcBorders>
              <w:top w:val="nil"/>
              <w:left w:val="nil"/>
              <w:bottom w:val="nil"/>
              <w:right w:val="nil"/>
            </w:tcBorders>
            <w:shd w:val="clear" w:color="auto" w:fill="auto"/>
            <w:noWrap/>
            <w:vAlign w:val="bottom"/>
            <w:hideMark/>
          </w:tcPr>
          <w:p w:rsidR="00D07EC6" w:rsidRPr="00D07EC6" w:rsidRDefault="00D07EC6" w:rsidP="00D07EC6">
            <w:pPr>
              <w:rPr>
                <w:rFonts w:ascii="Calibri" w:hAnsi="Calibri"/>
                <w:color w:val="000000"/>
                <w:sz w:val="18"/>
                <w:szCs w:val="18"/>
              </w:rPr>
            </w:pPr>
          </w:p>
        </w:tc>
      </w:tr>
      <w:tr w:rsidR="00D07EC6" w:rsidRPr="00D07EC6" w:rsidTr="004504C1">
        <w:trPr>
          <w:trHeight w:val="247"/>
        </w:trPr>
        <w:tc>
          <w:tcPr>
            <w:tcW w:w="12305" w:type="dxa"/>
            <w:gridSpan w:val="6"/>
            <w:tcBorders>
              <w:top w:val="nil"/>
              <w:left w:val="nil"/>
              <w:bottom w:val="nil"/>
              <w:right w:val="nil"/>
            </w:tcBorders>
            <w:shd w:val="clear" w:color="auto" w:fill="auto"/>
            <w:vAlign w:val="bottom"/>
            <w:hideMark/>
          </w:tcPr>
          <w:p w:rsidR="00D07EC6" w:rsidRPr="00D07EC6" w:rsidRDefault="00D07EC6" w:rsidP="00D07EC6">
            <w:pPr>
              <w:rPr>
                <w:rFonts w:ascii="Calibri" w:hAnsi="Calibri"/>
                <w:color w:val="000000"/>
                <w:sz w:val="18"/>
                <w:szCs w:val="18"/>
              </w:rPr>
            </w:pPr>
            <w:r w:rsidRPr="00D07EC6">
              <w:rPr>
                <w:rFonts w:ascii="Calibri" w:hAnsi="Calibri"/>
                <w:color w:val="000000"/>
                <w:sz w:val="18"/>
                <w:szCs w:val="18"/>
              </w:rPr>
              <w:t xml:space="preserve">Source: U.S. Census Bureau, Current Population Survey, Annual Social and Economic Supplement, 2016. </w:t>
            </w:r>
          </w:p>
        </w:tc>
        <w:tc>
          <w:tcPr>
            <w:tcW w:w="1799" w:type="dxa"/>
            <w:tcBorders>
              <w:top w:val="nil"/>
              <w:left w:val="nil"/>
              <w:bottom w:val="nil"/>
              <w:right w:val="nil"/>
            </w:tcBorders>
            <w:shd w:val="clear" w:color="auto" w:fill="auto"/>
            <w:vAlign w:val="bottom"/>
            <w:hideMark/>
          </w:tcPr>
          <w:p w:rsidR="00D07EC6" w:rsidRPr="00D07EC6" w:rsidRDefault="00D07EC6" w:rsidP="00D07EC6">
            <w:pPr>
              <w:rPr>
                <w:rFonts w:ascii="Calibri" w:hAnsi="Calibri"/>
                <w:color w:val="000000"/>
                <w:sz w:val="18"/>
                <w:szCs w:val="18"/>
              </w:rPr>
            </w:pPr>
          </w:p>
        </w:tc>
      </w:tr>
    </w:tbl>
    <w:p w:rsidR="005C0A34" w:rsidRPr="00045285" w:rsidRDefault="005C0A34" w:rsidP="00181939">
      <w:pPr>
        <w:tabs>
          <w:tab w:val="left" w:pos="5700"/>
        </w:tabs>
      </w:pPr>
    </w:p>
    <w:sectPr w:rsidR="005C0A34" w:rsidRPr="00045285" w:rsidSect="004504C1">
      <w:pgSz w:w="15840" w:h="12240" w:orient="landscape" w:code="1"/>
      <w:pgMar w:top="288" w:right="288" w:bottom="288" w:left="28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406" w:rsidRDefault="005B3406" w:rsidP="007D0E12">
      <w:r>
        <w:separator/>
      </w:r>
    </w:p>
  </w:endnote>
  <w:endnote w:type="continuationSeparator" w:id="0">
    <w:p w:rsidR="005B3406" w:rsidRDefault="005B3406" w:rsidP="007D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406" w:rsidRDefault="005B34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75788"/>
      <w:docPartObj>
        <w:docPartGallery w:val="Page Numbers (Bottom of Page)"/>
        <w:docPartUnique/>
      </w:docPartObj>
    </w:sdtPr>
    <w:sdtEndPr>
      <w:rPr>
        <w:noProof/>
      </w:rPr>
    </w:sdtEndPr>
    <w:sdtContent>
      <w:p w:rsidR="005B3406" w:rsidRDefault="005B3406">
        <w:pPr>
          <w:pStyle w:val="Footer"/>
          <w:jc w:val="right"/>
        </w:pPr>
        <w:r>
          <w:fldChar w:fldCharType="begin"/>
        </w:r>
        <w:r>
          <w:instrText xml:space="preserve"> PAGE   \* MERGEFORMAT </w:instrText>
        </w:r>
        <w:r>
          <w:fldChar w:fldCharType="separate"/>
        </w:r>
        <w:r w:rsidR="00B931C0">
          <w:rPr>
            <w:noProof/>
          </w:rPr>
          <w:t>21</w:t>
        </w:r>
        <w:r>
          <w:rPr>
            <w:noProof/>
          </w:rPr>
          <w:fldChar w:fldCharType="end"/>
        </w:r>
      </w:p>
    </w:sdtContent>
  </w:sdt>
  <w:p w:rsidR="005B3406" w:rsidRDefault="005B34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487514"/>
      <w:docPartObj>
        <w:docPartGallery w:val="Page Numbers (Bottom of Page)"/>
        <w:docPartUnique/>
      </w:docPartObj>
    </w:sdtPr>
    <w:sdtEndPr>
      <w:rPr>
        <w:noProof/>
      </w:rPr>
    </w:sdtEndPr>
    <w:sdtContent>
      <w:p w:rsidR="005B3406" w:rsidRDefault="005B3406">
        <w:pPr>
          <w:pStyle w:val="Footer"/>
          <w:jc w:val="right"/>
        </w:pPr>
        <w:r>
          <w:fldChar w:fldCharType="begin"/>
        </w:r>
        <w:r>
          <w:instrText xml:space="preserve"> PAGE   \* MERGEFORMAT </w:instrText>
        </w:r>
        <w:r>
          <w:fldChar w:fldCharType="separate"/>
        </w:r>
        <w:r w:rsidR="00B931C0">
          <w:rPr>
            <w:noProof/>
          </w:rPr>
          <w:t>1</w:t>
        </w:r>
        <w:r>
          <w:rPr>
            <w:noProof/>
          </w:rPr>
          <w:fldChar w:fldCharType="end"/>
        </w:r>
      </w:p>
    </w:sdtContent>
  </w:sdt>
  <w:p w:rsidR="005B3406" w:rsidRDefault="005B34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406" w:rsidRDefault="005B3406" w:rsidP="007D0E12">
      <w:r>
        <w:separator/>
      </w:r>
    </w:p>
  </w:footnote>
  <w:footnote w:type="continuationSeparator" w:id="0">
    <w:p w:rsidR="005B3406" w:rsidRDefault="005B3406" w:rsidP="007D0E12">
      <w:r>
        <w:continuationSeparator/>
      </w:r>
    </w:p>
  </w:footnote>
  <w:footnote w:id="1">
    <w:p w:rsidR="005B3406" w:rsidRDefault="005B3406">
      <w:pPr>
        <w:pStyle w:val="FootnoteText"/>
      </w:pPr>
      <w:r>
        <w:rPr>
          <w:rStyle w:val="FootnoteReference"/>
        </w:rPr>
        <w:footnoteRef/>
      </w:r>
      <w:r>
        <w:t xml:space="preserve"> </w:t>
      </w:r>
      <w:r w:rsidRPr="00586B25">
        <w:t>This paper reports the results of research and analysis undertaken by U</w:t>
      </w:r>
      <w:r>
        <w:t>.</w:t>
      </w:r>
      <w:r w:rsidRPr="00586B25">
        <w:t>S</w:t>
      </w:r>
      <w:r>
        <w:t>.</w:t>
      </w:r>
      <w:r w:rsidRPr="00586B25">
        <w:t xml:space="preserve"> Census Bureau staff. It has undergone more limited review than official publications and is released to inform interested parties of ongoing research and to encourage discussion of work in progress. Any views ex</w:t>
      </w:r>
      <w:r>
        <w:t>pressed are those of the author</w:t>
      </w:r>
      <w:r w:rsidRPr="00586B25">
        <w:t xml:space="preserve"> and not necessarily those of the U.S. Census Bureau.</w:t>
      </w:r>
    </w:p>
  </w:footnote>
  <w:footnote w:id="2">
    <w:p w:rsidR="005B3406" w:rsidRDefault="005B3406">
      <w:pPr>
        <w:pStyle w:val="FootnoteText"/>
      </w:pPr>
      <w:r>
        <w:rPr>
          <w:rStyle w:val="FootnoteReference"/>
        </w:rPr>
        <w:footnoteRef/>
      </w:r>
      <w:r>
        <w:t xml:space="preserve"> A complete list of reasons provided in ASEC is available in </w:t>
      </w:r>
      <w:r w:rsidRPr="009E04EB">
        <w:rPr>
          <w:b/>
        </w:rPr>
        <w:t>Table 1</w:t>
      </w:r>
      <w:r>
        <w:t xml:space="preserve">. </w:t>
      </w:r>
    </w:p>
  </w:footnote>
  <w:footnote w:id="3">
    <w:p w:rsidR="005B3406" w:rsidRDefault="005B3406">
      <w:pPr>
        <w:pStyle w:val="FootnoteText"/>
      </w:pPr>
      <w:r>
        <w:rPr>
          <w:rStyle w:val="FootnoteReference"/>
        </w:rPr>
        <w:footnoteRef/>
      </w:r>
      <w:r>
        <w:t xml:space="preserve"> All comparisons in this paper are statistically significant unless noted otherwise.</w:t>
      </w:r>
    </w:p>
  </w:footnote>
  <w:footnote w:id="4">
    <w:p w:rsidR="005B3406" w:rsidRDefault="005B3406">
      <w:pPr>
        <w:pStyle w:val="FootnoteText"/>
      </w:pPr>
      <w:r>
        <w:rPr>
          <w:rStyle w:val="FootnoteReference"/>
        </w:rPr>
        <w:footnoteRef/>
      </w:r>
      <w:r>
        <w:t xml:space="preserve"> This number might indicate that there are reasons not adequately reflected in the current response categories.</w:t>
      </w:r>
    </w:p>
  </w:footnote>
  <w:footnote w:id="5">
    <w:p w:rsidR="005B3406" w:rsidRDefault="005B3406">
      <w:pPr>
        <w:pStyle w:val="FootnoteText"/>
      </w:pPr>
      <w:r>
        <w:rPr>
          <w:rStyle w:val="FootnoteReference"/>
        </w:rPr>
        <w:footnoteRef/>
      </w:r>
      <w:r>
        <w:t xml:space="preserve"> Unweighted estimates are used in this section because the sample, not the population, is being analyzed. </w:t>
      </w:r>
    </w:p>
  </w:footnote>
  <w:footnote w:id="6">
    <w:p w:rsidR="005B3406" w:rsidRDefault="005B3406" w:rsidP="00654D96">
      <w:pPr>
        <w:pStyle w:val="FootnoteText"/>
      </w:pPr>
      <w:r>
        <w:rPr>
          <w:rStyle w:val="FootnoteReference"/>
        </w:rPr>
        <w:footnoteRef/>
      </w:r>
      <w:r>
        <w:t xml:space="preserve"> An earlier version of this table originally appeared as Appendix Table 1 on page 14 in the report, “Reason for Moving: 2012 to 2013”, available at </w:t>
      </w:r>
      <w:hyperlink r:id="rId1" w:history="1">
        <w:r w:rsidRPr="006C24C7">
          <w:rPr>
            <w:rStyle w:val="Hyperlink"/>
          </w:rPr>
          <w:t>http://www.census.gov/content/dam/Census/library/publications/2001/demo/p23-204.pdf</w:t>
        </w:r>
      </w:hyperlink>
      <w:r>
        <w:t xml:space="preserve">. </w:t>
      </w:r>
    </w:p>
  </w:footnote>
  <w:footnote w:id="7">
    <w:p w:rsidR="005B3406" w:rsidRDefault="005B3406" w:rsidP="00CD2696">
      <w:pPr>
        <w:pStyle w:val="FootnoteText"/>
      </w:pPr>
      <w:r>
        <w:rPr>
          <w:rStyle w:val="FootnoteReference"/>
        </w:rPr>
        <w:footnoteRef/>
      </w:r>
      <w:r>
        <w:t xml:space="preserve"> Write-in responses for reason for move are removed from the full file, sent to migration analysts, and coded. The coded responses are then returned to the full file. Individual write-ins are never released publicly. </w:t>
      </w:r>
    </w:p>
  </w:footnote>
  <w:footnote w:id="8">
    <w:p w:rsidR="005B3406" w:rsidRDefault="005B3406">
      <w:pPr>
        <w:pStyle w:val="FootnoteText"/>
      </w:pPr>
      <w:r>
        <w:rPr>
          <w:rStyle w:val="FootnoteReference"/>
        </w:rPr>
        <w:footnoteRef/>
      </w:r>
      <w:r>
        <w:t xml:space="preserve"> Under the original coding procedure, “other reason” was the only response for write-ins. Knowing the original reason for move code did not provide any additional, helpful information. With four reasons, we can develop a basic understanding of why the respondent selected a particular reason. </w:t>
      </w:r>
    </w:p>
  </w:footnote>
  <w:footnote w:id="9">
    <w:p w:rsidR="005B3406" w:rsidRDefault="005B3406" w:rsidP="00D1472A">
      <w:pPr>
        <w:pStyle w:val="FootnoteText"/>
      </w:pPr>
      <w:r>
        <w:rPr>
          <w:rStyle w:val="FootnoteReference"/>
        </w:rPr>
        <w:footnoteRef/>
      </w:r>
      <w:r>
        <w:t xml:space="preserve"> The population universe for the reason for move question is the population one year and over that moved within a 1-year period. </w:t>
      </w:r>
    </w:p>
  </w:footnote>
  <w:footnote w:id="10">
    <w:p w:rsidR="005B3406" w:rsidRDefault="005B3406">
      <w:pPr>
        <w:pStyle w:val="FootnoteText"/>
      </w:pPr>
      <w:r>
        <w:rPr>
          <w:rStyle w:val="FootnoteReference"/>
        </w:rPr>
        <w:footnoteRef/>
      </w:r>
      <w:r>
        <w:t xml:space="preserve"> The analysis section of this working paper further discusses how edits changed the reason for move distribution in 2016. </w:t>
      </w:r>
    </w:p>
  </w:footnote>
  <w:footnote w:id="11">
    <w:p w:rsidR="005B3406" w:rsidRDefault="005B3406" w:rsidP="002F5D62">
      <w:pPr>
        <w:pStyle w:val="FootnoteText"/>
      </w:pPr>
      <w:r>
        <w:rPr>
          <w:rStyle w:val="FootnoteReference"/>
        </w:rPr>
        <w:footnoteRef/>
      </w:r>
      <w:r>
        <w:t xml:space="preserve"> Several changes were made to the reason for move categories between 1998 and 1999, therefore I recommend excluding 1998 reason for move data for comparisons with later years. For more information regarding these changes, see footnote 2 of the report, “</w:t>
      </w:r>
      <w:r w:rsidRPr="00C90774">
        <w:rPr>
          <w:bCs/>
        </w:rPr>
        <w:t>Why People Move: Exploring the March 2000 Current Population Survey</w:t>
      </w:r>
      <w:r w:rsidRPr="00492123">
        <w:t>,</w:t>
      </w:r>
      <w:r>
        <w:t xml:space="preserve">” available at </w:t>
      </w:r>
      <w:hyperlink r:id="rId2" w:history="1">
        <w:r w:rsidRPr="00083A29">
          <w:rPr>
            <w:rStyle w:val="Hyperlink"/>
          </w:rPr>
          <w:t>http://www.census.gov/prod/2001pubs/p23-204.pdf</w:t>
        </w:r>
      </w:hyperlink>
      <w:r>
        <w:t xml:space="preserve">. </w:t>
      </w:r>
    </w:p>
  </w:footnote>
  <w:footnote w:id="12">
    <w:p w:rsidR="005B3406" w:rsidRDefault="005B3406">
      <w:pPr>
        <w:pStyle w:val="FootnoteText"/>
      </w:pPr>
      <w:r>
        <w:rPr>
          <w:rStyle w:val="FootnoteReference"/>
        </w:rPr>
        <w:footnoteRef/>
      </w:r>
      <w:r>
        <w:t xml:space="preserve"> Estimates displayed in Figure 1 are coded, edited, and weighted. They cannot be compared to </w:t>
      </w:r>
      <w:proofErr w:type="spellStart"/>
      <w:r>
        <w:t>uncoded</w:t>
      </w:r>
      <w:proofErr w:type="spellEnd"/>
      <w:r>
        <w:t xml:space="preserve">, unedited, or unweighted data shown elsewhere in this paper.  </w:t>
      </w:r>
    </w:p>
  </w:footnote>
  <w:footnote w:id="13">
    <w:p w:rsidR="005B3406" w:rsidRDefault="005B3406">
      <w:pPr>
        <w:pStyle w:val="FootnoteText"/>
      </w:pPr>
      <w:r>
        <w:rPr>
          <w:rStyle w:val="FootnoteReference"/>
        </w:rPr>
        <w:footnoteRef/>
      </w:r>
      <w:r>
        <w:t xml:space="preserve"> The 1999 other reason for move estimate is not statistically different from the 2009 and 2011 estimates. </w:t>
      </w:r>
    </w:p>
  </w:footnote>
  <w:footnote w:id="14">
    <w:p w:rsidR="005B3406" w:rsidRDefault="005B3406" w:rsidP="002F5D62">
      <w:pPr>
        <w:pStyle w:val="FootnoteText"/>
      </w:pPr>
      <w:r>
        <w:rPr>
          <w:rStyle w:val="FootnoteReference"/>
        </w:rPr>
        <w:footnoteRef/>
      </w:r>
      <w:r>
        <w:t xml:space="preserve">Changes might occur to reasons not shown in </w:t>
      </w:r>
      <w:r w:rsidRPr="00A06306">
        <w:rPr>
          <w:b/>
        </w:rPr>
        <w:t>Figure 1</w:t>
      </w:r>
      <w:r>
        <w:t xml:space="preserve">. </w:t>
      </w:r>
    </w:p>
  </w:footnote>
  <w:footnote w:id="15">
    <w:p w:rsidR="005B3406" w:rsidRDefault="005B3406">
      <w:pPr>
        <w:pStyle w:val="FootnoteText"/>
      </w:pPr>
      <w:r>
        <w:rPr>
          <w:rStyle w:val="FootnoteReference"/>
        </w:rPr>
        <w:footnoteRef/>
      </w:r>
      <w:r>
        <w:t xml:space="preserve"> The foreclosure/eviction category was treated the same as any reason for move response in terms of processing and editing. Additional information is available in the CPS User Note: Addition of Foreclosure/Eviction Reason for Move Category, available at </w:t>
      </w:r>
      <w:hyperlink r:id="rId3" w:history="1">
        <w:r w:rsidRPr="007C15DE">
          <w:rPr>
            <w:rStyle w:val="Hyperlink"/>
          </w:rPr>
          <w:t>http://www.census.gov/programs-surveys/cps/technical-documentation/user-notes/geographic-mobility-user-notes/2012-01.html</w:t>
        </w:r>
      </w:hyperlink>
      <w:r>
        <w:t xml:space="preserve">. </w:t>
      </w:r>
    </w:p>
  </w:footnote>
  <w:footnote w:id="16">
    <w:p w:rsidR="005B3406" w:rsidRDefault="005B3406">
      <w:pPr>
        <w:pStyle w:val="FootnoteText"/>
      </w:pPr>
      <w:r>
        <w:rPr>
          <w:rStyle w:val="FootnoteReference"/>
        </w:rPr>
        <w:footnoteRef/>
      </w:r>
      <w:r>
        <w:t xml:space="preserve"> </w:t>
      </w:r>
      <w:r w:rsidRPr="00F4224A">
        <w:t>The coding process involves placing some of the write-in responses into different reasons. Editing fills in missing values with assignments and allocations. It is discussed further in the “how did edits and weighting change the reason for move distribution” section. Weighting adjusts the sample estimates in order to make them representative of the population.</w:t>
      </w:r>
      <w:r>
        <w:t xml:space="preserve"> </w:t>
      </w:r>
    </w:p>
  </w:footnote>
  <w:footnote w:id="17">
    <w:p w:rsidR="005B3406" w:rsidRDefault="005B3406" w:rsidP="005F6205">
      <w:pPr>
        <w:pStyle w:val="FootnoteText"/>
      </w:pPr>
      <w:r>
        <w:rPr>
          <w:rStyle w:val="FootnoteReference"/>
        </w:rPr>
        <w:footnoteRef/>
      </w:r>
      <w:r>
        <w:t xml:space="preserve"> Before coding, weighting, and editing. </w:t>
      </w:r>
    </w:p>
  </w:footnote>
  <w:footnote w:id="18">
    <w:p w:rsidR="005B3406" w:rsidRDefault="005B3406" w:rsidP="00F262EC">
      <w:pPr>
        <w:pStyle w:val="FootnoteText"/>
      </w:pPr>
      <w:r>
        <w:rPr>
          <w:rStyle w:val="FootnoteReference"/>
        </w:rPr>
        <w:footnoteRef/>
      </w:r>
      <w:r>
        <w:t xml:space="preserve"> These lists are in no particular order. The reasons shown might be unique to 2016 and not representative of other years.  </w:t>
      </w:r>
    </w:p>
  </w:footnote>
  <w:footnote w:id="19">
    <w:p w:rsidR="005B3406" w:rsidRDefault="005B3406" w:rsidP="00F262EC">
      <w:pPr>
        <w:pStyle w:val="FootnoteText"/>
      </w:pPr>
      <w:r>
        <w:rPr>
          <w:rStyle w:val="FootnoteReference"/>
        </w:rPr>
        <w:footnoteRef/>
      </w:r>
      <w:r>
        <w:t xml:space="preserve"> For the purpose of this paper, reasons were grouped by related themes. They do not necessarily have to be grouped in this manner. </w:t>
      </w:r>
    </w:p>
  </w:footnote>
  <w:footnote w:id="20">
    <w:p w:rsidR="005B3406" w:rsidRDefault="005B3406" w:rsidP="00F262EC">
      <w:pPr>
        <w:pStyle w:val="FootnoteText"/>
      </w:pPr>
      <w:r>
        <w:rPr>
          <w:rStyle w:val="FootnoteReference"/>
        </w:rPr>
        <w:footnoteRef/>
      </w:r>
      <w:r>
        <w:t xml:space="preserve"> This suggests that the list of job-related reasons provided is representative for all but a few. </w:t>
      </w:r>
    </w:p>
  </w:footnote>
  <w:footnote w:id="21">
    <w:p w:rsidR="005B3406" w:rsidRDefault="005B3406">
      <w:pPr>
        <w:pStyle w:val="FootnoteText"/>
      </w:pPr>
      <w:r>
        <w:rPr>
          <w:rStyle w:val="FootnoteReference"/>
        </w:rPr>
        <w:footnoteRef/>
      </w:r>
      <w:r>
        <w:t xml:space="preserve"> Some cases in the “other family reason” said their main reason for moving was “to live/move in with (name)”. Because the relationship was not identified in their response, the conservative approach of leaving them in the other family reason was taken. This approach assumes that the person listed is somehow related to the respondent. </w:t>
      </w:r>
    </w:p>
  </w:footnote>
  <w:footnote w:id="22">
    <w:p w:rsidR="005B3406" w:rsidRDefault="005B3406" w:rsidP="00B5649D">
      <w:pPr>
        <w:pStyle w:val="FootnoteText"/>
      </w:pPr>
      <w:r>
        <w:rPr>
          <w:rStyle w:val="FootnoteReference"/>
        </w:rPr>
        <w:footnoteRef/>
      </w:r>
      <w:r>
        <w:t xml:space="preserve"> Table 4 is a modified and relabeled version of historical Table A-5. All of the ASEC historical migration tables are available at </w:t>
      </w:r>
      <w:hyperlink r:id="rId4" w:history="1">
        <w:r w:rsidRPr="007B0BA6">
          <w:rPr>
            <w:rStyle w:val="Hyperlink"/>
          </w:rPr>
          <w:t>http://www.census.gov/data/tables/time-series/demo/geographic-mobility/historic.html</w:t>
        </w:r>
      </w:hyperlink>
      <w:r>
        <w:t xml:space="preserve">. </w:t>
      </w:r>
    </w:p>
  </w:footnote>
  <w:footnote w:id="23">
    <w:p w:rsidR="005B3406" w:rsidRDefault="005B3406">
      <w:pPr>
        <w:pStyle w:val="FootnoteText"/>
      </w:pPr>
      <w:r>
        <w:rPr>
          <w:rStyle w:val="FootnoteReference"/>
        </w:rPr>
        <w:footnoteRef/>
      </w:r>
      <w:r>
        <w:t xml:space="preserve"> The percent changed by coding was calculated as follows: (number of cases after coding – number of cases before coding) divided by the number of cases after coding, which is then multiplied by 100.</w:t>
      </w:r>
    </w:p>
  </w:footnote>
  <w:footnote w:id="24">
    <w:p w:rsidR="005B3406" w:rsidRDefault="005B3406">
      <w:pPr>
        <w:pStyle w:val="FootnoteText"/>
      </w:pPr>
      <w:r>
        <w:rPr>
          <w:rStyle w:val="FootnoteReference"/>
        </w:rPr>
        <w:footnoteRef/>
      </w:r>
      <w:r>
        <w:t xml:space="preserve"> The percent in the “other housing” reason increased after coding. This was due, in part, to reasons being coded from “other reason” to “other housing.” </w:t>
      </w:r>
    </w:p>
  </w:footnote>
  <w:footnote w:id="25">
    <w:p w:rsidR="005B3406" w:rsidRPr="008F0822" w:rsidRDefault="005B3406">
      <w:pPr>
        <w:pStyle w:val="FootnoteText"/>
      </w:pPr>
      <w:r>
        <w:rPr>
          <w:rStyle w:val="FootnoteReference"/>
        </w:rPr>
        <w:footnoteRef/>
      </w:r>
      <w:r>
        <w:t xml:space="preserve"> </w:t>
      </w:r>
      <w:r w:rsidRPr="008F0822">
        <w:t xml:space="preserve">For reference, the migration and reason for move questions are available near the end of Appendix D in the 2016 ASEC technical documentation, available at </w:t>
      </w:r>
      <w:hyperlink r:id="rId5" w:history="1">
        <w:r w:rsidRPr="008F0822">
          <w:rPr>
            <w:rStyle w:val="Hyperlink"/>
          </w:rPr>
          <w:t>http://www2.census.gov/programs-surveys/cps/techdocs/cpsmar16.pdf</w:t>
        </w:r>
      </w:hyperlink>
      <w:r w:rsidRPr="008F0822">
        <w:t xml:space="preserve">. </w:t>
      </w:r>
    </w:p>
  </w:footnote>
  <w:footnote w:id="26">
    <w:p w:rsidR="005B3406" w:rsidRPr="008F0822" w:rsidRDefault="005B3406">
      <w:pPr>
        <w:pStyle w:val="FootnoteText"/>
      </w:pPr>
      <w:r w:rsidRPr="008F0822">
        <w:rPr>
          <w:rStyle w:val="FootnoteReference"/>
        </w:rPr>
        <w:footnoteRef/>
      </w:r>
      <w:r>
        <w:t xml:space="preserve"> Respondents</w:t>
      </w:r>
      <w:r w:rsidRPr="008F0822">
        <w:t xml:space="preserve"> who </w:t>
      </w:r>
      <w:r>
        <w:t xml:space="preserve">lived at a residence 1 year ago that was different from the rest of the household were asked for their previous address and reason for move. </w:t>
      </w:r>
    </w:p>
  </w:footnote>
  <w:footnote w:id="27">
    <w:p w:rsidR="005B3406" w:rsidRDefault="005B3406">
      <w:pPr>
        <w:pStyle w:val="FootnoteText"/>
      </w:pPr>
      <w:r w:rsidRPr="008F0822">
        <w:rPr>
          <w:rStyle w:val="FootnoteReference"/>
        </w:rPr>
        <w:footnoteRef/>
      </w:r>
      <w:r w:rsidRPr="008F0822">
        <w:t xml:space="preserve"> This applies to the householder, their spouse, and their children. Children in subfamilies were given their parent’s reason for move if the parent was present and reported a reason. Other household members receive values from donors through the edit matrix.</w:t>
      </w:r>
      <w:r>
        <w:t xml:space="preserve"> </w:t>
      </w:r>
    </w:p>
  </w:footnote>
  <w:footnote w:id="28">
    <w:p w:rsidR="005B3406" w:rsidRDefault="005B3406">
      <w:pPr>
        <w:pStyle w:val="FootnoteText"/>
      </w:pPr>
      <w:r>
        <w:rPr>
          <w:rStyle w:val="FootnoteReference"/>
        </w:rPr>
        <w:footnoteRef/>
      </w:r>
      <w:r>
        <w:t xml:space="preserve"> Caution should be used when comparing unedited and edited data. </w:t>
      </w:r>
    </w:p>
  </w:footnote>
  <w:footnote w:id="29">
    <w:p w:rsidR="005B3406" w:rsidRDefault="005B3406" w:rsidP="00364ACA">
      <w:pPr>
        <w:contextualSpacing/>
      </w:pPr>
      <w:r>
        <w:rPr>
          <w:rStyle w:val="FootnoteReference"/>
        </w:rPr>
        <w:footnoteRef/>
      </w:r>
      <w:r>
        <w:t xml:space="preserve"> </w:t>
      </w:r>
      <w:r w:rsidRPr="00364ACA">
        <w:rPr>
          <w:sz w:val="20"/>
          <w:szCs w:val="20"/>
        </w:rPr>
        <w:t>To calc</w:t>
      </w:r>
      <w:r>
        <w:rPr>
          <w:sz w:val="20"/>
          <w:szCs w:val="20"/>
        </w:rPr>
        <w:t>ulate percent changed by edits and weighting</w:t>
      </w:r>
      <w:r w:rsidRPr="00364ACA">
        <w:rPr>
          <w:sz w:val="20"/>
          <w:szCs w:val="20"/>
        </w:rPr>
        <w:t>, I subtracted the after coding number from the after coding, edits, and weight</w:t>
      </w:r>
      <w:r>
        <w:rPr>
          <w:sz w:val="20"/>
          <w:szCs w:val="20"/>
        </w:rPr>
        <w:t>ing</w:t>
      </w:r>
      <w:r w:rsidRPr="00364ACA">
        <w:rPr>
          <w:sz w:val="20"/>
          <w:szCs w:val="20"/>
        </w:rPr>
        <w:t xml:space="preserve"> number</w:t>
      </w:r>
      <w:r>
        <w:rPr>
          <w:sz w:val="20"/>
          <w:szCs w:val="20"/>
        </w:rPr>
        <w:t>, divided the result by the after coding,</w:t>
      </w:r>
      <w:r w:rsidRPr="00364ACA">
        <w:rPr>
          <w:sz w:val="20"/>
          <w:szCs w:val="20"/>
        </w:rPr>
        <w:t xml:space="preserve"> edits, and w</w:t>
      </w:r>
      <w:r>
        <w:rPr>
          <w:sz w:val="20"/>
          <w:szCs w:val="20"/>
        </w:rPr>
        <w:t>eighting</w:t>
      </w:r>
      <w:r w:rsidRPr="00364ACA">
        <w:rPr>
          <w:sz w:val="20"/>
          <w:szCs w:val="20"/>
        </w:rPr>
        <w:t xml:space="preserve"> number</w:t>
      </w:r>
      <w:r>
        <w:rPr>
          <w:sz w:val="20"/>
          <w:szCs w:val="20"/>
        </w:rPr>
        <w:t>,</w:t>
      </w:r>
      <w:r w:rsidRPr="00364ACA">
        <w:rPr>
          <w:sz w:val="20"/>
          <w:szCs w:val="20"/>
        </w:rPr>
        <w:t xml:space="preserve"> and multiplied by 100.</w:t>
      </w:r>
      <w:r>
        <w:t xml:space="preserve"> </w:t>
      </w:r>
    </w:p>
    <w:p w:rsidR="005B3406" w:rsidRDefault="005B340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406" w:rsidRDefault="005B34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406" w:rsidRDefault="005B34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406" w:rsidRDefault="005B34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9753858-b0f7-41f1-aaad-c62754085d9b"/>
  </w:docVars>
  <w:rsids>
    <w:rsidRoot w:val="00DA6E02"/>
    <w:rsid w:val="0000111F"/>
    <w:rsid w:val="000014A1"/>
    <w:rsid w:val="0000158F"/>
    <w:rsid w:val="0000282C"/>
    <w:rsid w:val="0000400D"/>
    <w:rsid w:val="0000465F"/>
    <w:rsid w:val="000057D1"/>
    <w:rsid w:val="000117CA"/>
    <w:rsid w:val="000122EB"/>
    <w:rsid w:val="00012D17"/>
    <w:rsid w:val="00013A94"/>
    <w:rsid w:val="0001444B"/>
    <w:rsid w:val="000158A4"/>
    <w:rsid w:val="00015A0A"/>
    <w:rsid w:val="000165C9"/>
    <w:rsid w:val="00016A3E"/>
    <w:rsid w:val="0001712A"/>
    <w:rsid w:val="00017F81"/>
    <w:rsid w:val="00017FFE"/>
    <w:rsid w:val="000209EC"/>
    <w:rsid w:val="0002166C"/>
    <w:rsid w:val="00021911"/>
    <w:rsid w:val="00021C75"/>
    <w:rsid w:val="00022836"/>
    <w:rsid w:val="00031AAF"/>
    <w:rsid w:val="000338BA"/>
    <w:rsid w:val="00033DEE"/>
    <w:rsid w:val="00034571"/>
    <w:rsid w:val="000350D1"/>
    <w:rsid w:val="00035150"/>
    <w:rsid w:val="00036386"/>
    <w:rsid w:val="000373DE"/>
    <w:rsid w:val="0004037C"/>
    <w:rsid w:val="00040421"/>
    <w:rsid w:val="000407CD"/>
    <w:rsid w:val="0004288F"/>
    <w:rsid w:val="00043098"/>
    <w:rsid w:val="00043146"/>
    <w:rsid w:val="000432A7"/>
    <w:rsid w:val="00044B52"/>
    <w:rsid w:val="00045285"/>
    <w:rsid w:val="00046B8C"/>
    <w:rsid w:val="00047AEF"/>
    <w:rsid w:val="00050D45"/>
    <w:rsid w:val="00052752"/>
    <w:rsid w:val="00055521"/>
    <w:rsid w:val="000613E0"/>
    <w:rsid w:val="0006356B"/>
    <w:rsid w:val="00063C55"/>
    <w:rsid w:val="00063DC2"/>
    <w:rsid w:val="0006490C"/>
    <w:rsid w:val="000651E5"/>
    <w:rsid w:val="00065670"/>
    <w:rsid w:val="00066DC3"/>
    <w:rsid w:val="00070246"/>
    <w:rsid w:val="00070DBA"/>
    <w:rsid w:val="00072585"/>
    <w:rsid w:val="0007310D"/>
    <w:rsid w:val="00073B7E"/>
    <w:rsid w:val="000748AC"/>
    <w:rsid w:val="00075F0D"/>
    <w:rsid w:val="0007679E"/>
    <w:rsid w:val="000803DA"/>
    <w:rsid w:val="0008099F"/>
    <w:rsid w:val="00082242"/>
    <w:rsid w:val="0008230B"/>
    <w:rsid w:val="0008250C"/>
    <w:rsid w:val="00082A30"/>
    <w:rsid w:val="00083B68"/>
    <w:rsid w:val="000843A1"/>
    <w:rsid w:val="000845B0"/>
    <w:rsid w:val="00084B46"/>
    <w:rsid w:val="00090210"/>
    <w:rsid w:val="000915E7"/>
    <w:rsid w:val="000918B5"/>
    <w:rsid w:val="00091B18"/>
    <w:rsid w:val="0009200A"/>
    <w:rsid w:val="0009396D"/>
    <w:rsid w:val="00095AB1"/>
    <w:rsid w:val="00095DF6"/>
    <w:rsid w:val="00095E55"/>
    <w:rsid w:val="0009745F"/>
    <w:rsid w:val="000A03C6"/>
    <w:rsid w:val="000A0B28"/>
    <w:rsid w:val="000A4168"/>
    <w:rsid w:val="000A5CC6"/>
    <w:rsid w:val="000A5E8E"/>
    <w:rsid w:val="000B18D0"/>
    <w:rsid w:val="000B2E5C"/>
    <w:rsid w:val="000B5CD8"/>
    <w:rsid w:val="000B6492"/>
    <w:rsid w:val="000B6FD5"/>
    <w:rsid w:val="000B70FB"/>
    <w:rsid w:val="000B76B8"/>
    <w:rsid w:val="000C1080"/>
    <w:rsid w:val="000C1538"/>
    <w:rsid w:val="000C1FE2"/>
    <w:rsid w:val="000C3326"/>
    <w:rsid w:val="000C3B59"/>
    <w:rsid w:val="000C4887"/>
    <w:rsid w:val="000C4DF2"/>
    <w:rsid w:val="000C64F3"/>
    <w:rsid w:val="000D02F4"/>
    <w:rsid w:val="000D0841"/>
    <w:rsid w:val="000D0C7D"/>
    <w:rsid w:val="000D2FE2"/>
    <w:rsid w:val="000D3582"/>
    <w:rsid w:val="000D5281"/>
    <w:rsid w:val="000D54D7"/>
    <w:rsid w:val="000D5DE5"/>
    <w:rsid w:val="000D6F79"/>
    <w:rsid w:val="000D7069"/>
    <w:rsid w:val="000D742F"/>
    <w:rsid w:val="000D7E4E"/>
    <w:rsid w:val="000D7FB2"/>
    <w:rsid w:val="000E06D6"/>
    <w:rsid w:val="000E0F92"/>
    <w:rsid w:val="000E2390"/>
    <w:rsid w:val="000E3677"/>
    <w:rsid w:val="000E5D8E"/>
    <w:rsid w:val="000E6BE7"/>
    <w:rsid w:val="000E7829"/>
    <w:rsid w:val="000E7938"/>
    <w:rsid w:val="000E7A17"/>
    <w:rsid w:val="000F10BC"/>
    <w:rsid w:val="000F1239"/>
    <w:rsid w:val="000F12AB"/>
    <w:rsid w:val="000F1A10"/>
    <w:rsid w:val="000F29D3"/>
    <w:rsid w:val="000F3966"/>
    <w:rsid w:val="000F5AC4"/>
    <w:rsid w:val="000F68BA"/>
    <w:rsid w:val="000F7972"/>
    <w:rsid w:val="00101534"/>
    <w:rsid w:val="001016C6"/>
    <w:rsid w:val="0010173F"/>
    <w:rsid w:val="001028C5"/>
    <w:rsid w:val="00103552"/>
    <w:rsid w:val="00103671"/>
    <w:rsid w:val="00107E78"/>
    <w:rsid w:val="00107ED5"/>
    <w:rsid w:val="00113A41"/>
    <w:rsid w:val="001143B8"/>
    <w:rsid w:val="00114E55"/>
    <w:rsid w:val="00114EB4"/>
    <w:rsid w:val="00115D5E"/>
    <w:rsid w:val="00117322"/>
    <w:rsid w:val="00122283"/>
    <w:rsid w:val="0012334A"/>
    <w:rsid w:val="00123C0E"/>
    <w:rsid w:val="00124508"/>
    <w:rsid w:val="001246B7"/>
    <w:rsid w:val="001259E2"/>
    <w:rsid w:val="00125DF0"/>
    <w:rsid w:val="0012733C"/>
    <w:rsid w:val="0012786F"/>
    <w:rsid w:val="001309D2"/>
    <w:rsid w:val="0013163C"/>
    <w:rsid w:val="00132F79"/>
    <w:rsid w:val="00134050"/>
    <w:rsid w:val="00134B48"/>
    <w:rsid w:val="001354EA"/>
    <w:rsid w:val="0013568A"/>
    <w:rsid w:val="00136F2F"/>
    <w:rsid w:val="001378EC"/>
    <w:rsid w:val="00137A47"/>
    <w:rsid w:val="0014095A"/>
    <w:rsid w:val="001416DF"/>
    <w:rsid w:val="00141E46"/>
    <w:rsid w:val="00141EEC"/>
    <w:rsid w:val="00142230"/>
    <w:rsid w:val="00142D68"/>
    <w:rsid w:val="00144B99"/>
    <w:rsid w:val="00144C57"/>
    <w:rsid w:val="001463D5"/>
    <w:rsid w:val="00146A13"/>
    <w:rsid w:val="00147286"/>
    <w:rsid w:val="0015032D"/>
    <w:rsid w:val="00150EEF"/>
    <w:rsid w:val="001510DB"/>
    <w:rsid w:val="00151D5D"/>
    <w:rsid w:val="00155020"/>
    <w:rsid w:val="001574C3"/>
    <w:rsid w:val="00157EC0"/>
    <w:rsid w:val="00157FB3"/>
    <w:rsid w:val="001606A5"/>
    <w:rsid w:val="00161F86"/>
    <w:rsid w:val="001622BB"/>
    <w:rsid w:val="001651F1"/>
    <w:rsid w:val="00165BAF"/>
    <w:rsid w:val="0016608E"/>
    <w:rsid w:val="0016642D"/>
    <w:rsid w:val="001665EC"/>
    <w:rsid w:val="00166A43"/>
    <w:rsid w:val="00166AE2"/>
    <w:rsid w:val="00166C50"/>
    <w:rsid w:val="00170324"/>
    <w:rsid w:val="00170426"/>
    <w:rsid w:val="001709AE"/>
    <w:rsid w:val="00171EC7"/>
    <w:rsid w:val="00172435"/>
    <w:rsid w:val="00172883"/>
    <w:rsid w:val="00173243"/>
    <w:rsid w:val="00173273"/>
    <w:rsid w:val="001742E1"/>
    <w:rsid w:val="0017451D"/>
    <w:rsid w:val="00174A1C"/>
    <w:rsid w:val="00175656"/>
    <w:rsid w:val="00175757"/>
    <w:rsid w:val="00175A97"/>
    <w:rsid w:val="00175F4D"/>
    <w:rsid w:val="00176267"/>
    <w:rsid w:val="00176930"/>
    <w:rsid w:val="001769E4"/>
    <w:rsid w:val="00176E8F"/>
    <w:rsid w:val="001776C7"/>
    <w:rsid w:val="00180B3C"/>
    <w:rsid w:val="001814D5"/>
    <w:rsid w:val="00181939"/>
    <w:rsid w:val="00181A13"/>
    <w:rsid w:val="00181BE1"/>
    <w:rsid w:val="001824B2"/>
    <w:rsid w:val="001830A7"/>
    <w:rsid w:val="00184443"/>
    <w:rsid w:val="00184C1A"/>
    <w:rsid w:val="001854F8"/>
    <w:rsid w:val="001860F5"/>
    <w:rsid w:val="00186B80"/>
    <w:rsid w:val="00187C48"/>
    <w:rsid w:val="00190C68"/>
    <w:rsid w:val="0019197A"/>
    <w:rsid w:val="00192417"/>
    <w:rsid w:val="00192CA5"/>
    <w:rsid w:val="00193EB0"/>
    <w:rsid w:val="00195457"/>
    <w:rsid w:val="0019564A"/>
    <w:rsid w:val="0019644F"/>
    <w:rsid w:val="00196602"/>
    <w:rsid w:val="00196BFF"/>
    <w:rsid w:val="00197578"/>
    <w:rsid w:val="00197EF9"/>
    <w:rsid w:val="001A09D7"/>
    <w:rsid w:val="001A0B71"/>
    <w:rsid w:val="001A1DED"/>
    <w:rsid w:val="001A1F86"/>
    <w:rsid w:val="001A2512"/>
    <w:rsid w:val="001A2EAC"/>
    <w:rsid w:val="001A4603"/>
    <w:rsid w:val="001A5898"/>
    <w:rsid w:val="001A78FD"/>
    <w:rsid w:val="001A7C76"/>
    <w:rsid w:val="001A7D35"/>
    <w:rsid w:val="001A7F0D"/>
    <w:rsid w:val="001B029A"/>
    <w:rsid w:val="001B1584"/>
    <w:rsid w:val="001B38B2"/>
    <w:rsid w:val="001B4296"/>
    <w:rsid w:val="001B44E3"/>
    <w:rsid w:val="001B5842"/>
    <w:rsid w:val="001B726D"/>
    <w:rsid w:val="001B7291"/>
    <w:rsid w:val="001C0E48"/>
    <w:rsid w:val="001C31B0"/>
    <w:rsid w:val="001C3730"/>
    <w:rsid w:val="001C3881"/>
    <w:rsid w:val="001C510C"/>
    <w:rsid w:val="001C53CA"/>
    <w:rsid w:val="001C5465"/>
    <w:rsid w:val="001C5AB0"/>
    <w:rsid w:val="001C6FCC"/>
    <w:rsid w:val="001D2A7C"/>
    <w:rsid w:val="001D38B1"/>
    <w:rsid w:val="001D39A7"/>
    <w:rsid w:val="001D3B2D"/>
    <w:rsid w:val="001D53EC"/>
    <w:rsid w:val="001D61A4"/>
    <w:rsid w:val="001D69A8"/>
    <w:rsid w:val="001D69AD"/>
    <w:rsid w:val="001D6B98"/>
    <w:rsid w:val="001D724A"/>
    <w:rsid w:val="001D7296"/>
    <w:rsid w:val="001D7442"/>
    <w:rsid w:val="001D754C"/>
    <w:rsid w:val="001E08F0"/>
    <w:rsid w:val="001E1F12"/>
    <w:rsid w:val="001E222C"/>
    <w:rsid w:val="001E252F"/>
    <w:rsid w:val="001E2688"/>
    <w:rsid w:val="001E412D"/>
    <w:rsid w:val="001E4E72"/>
    <w:rsid w:val="001E55EE"/>
    <w:rsid w:val="001E67FB"/>
    <w:rsid w:val="001E7DF3"/>
    <w:rsid w:val="001F36C4"/>
    <w:rsid w:val="001F7115"/>
    <w:rsid w:val="0020045E"/>
    <w:rsid w:val="00201108"/>
    <w:rsid w:val="00203285"/>
    <w:rsid w:val="002032D3"/>
    <w:rsid w:val="0020515C"/>
    <w:rsid w:val="002053D1"/>
    <w:rsid w:val="00210773"/>
    <w:rsid w:val="00211048"/>
    <w:rsid w:val="002123BB"/>
    <w:rsid w:val="00212845"/>
    <w:rsid w:val="0021294C"/>
    <w:rsid w:val="002132E2"/>
    <w:rsid w:val="00213D4C"/>
    <w:rsid w:val="0021438C"/>
    <w:rsid w:val="002146F5"/>
    <w:rsid w:val="0021543E"/>
    <w:rsid w:val="002165AF"/>
    <w:rsid w:val="002169AE"/>
    <w:rsid w:val="00221C25"/>
    <w:rsid w:val="00224DDE"/>
    <w:rsid w:val="00224E67"/>
    <w:rsid w:val="002254A4"/>
    <w:rsid w:val="002262D4"/>
    <w:rsid w:val="002274D8"/>
    <w:rsid w:val="00227EAD"/>
    <w:rsid w:val="00230525"/>
    <w:rsid w:val="00230866"/>
    <w:rsid w:val="002316AC"/>
    <w:rsid w:val="0023278A"/>
    <w:rsid w:val="00232B2C"/>
    <w:rsid w:val="0023384A"/>
    <w:rsid w:val="00235647"/>
    <w:rsid w:val="00235B02"/>
    <w:rsid w:val="0023678B"/>
    <w:rsid w:val="00236F29"/>
    <w:rsid w:val="00237AFA"/>
    <w:rsid w:val="002419A2"/>
    <w:rsid w:val="0024212D"/>
    <w:rsid w:val="002430DE"/>
    <w:rsid w:val="002457F4"/>
    <w:rsid w:val="00245F1B"/>
    <w:rsid w:val="00246EB5"/>
    <w:rsid w:val="002476B4"/>
    <w:rsid w:val="00247F42"/>
    <w:rsid w:val="002544FE"/>
    <w:rsid w:val="00256F55"/>
    <w:rsid w:val="002605C4"/>
    <w:rsid w:val="00260787"/>
    <w:rsid w:val="0026164C"/>
    <w:rsid w:val="002619FE"/>
    <w:rsid w:val="00261FF0"/>
    <w:rsid w:val="00263EBC"/>
    <w:rsid w:val="00264B4E"/>
    <w:rsid w:val="002700E4"/>
    <w:rsid w:val="00270381"/>
    <w:rsid w:val="00270622"/>
    <w:rsid w:val="00270ED8"/>
    <w:rsid w:val="00271A54"/>
    <w:rsid w:val="00274F09"/>
    <w:rsid w:val="0027630C"/>
    <w:rsid w:val="00276591"/>
    <w:rsid w:val="00277850"/>
    <w:rsid w:val="00281120"/>
    <w:rsid w:val="0028241C"/>
    <w:rsid w:val="002842C0"/>
    <w:rsid w:val="00284E97"/>
    <w:rsid w:val="0028541F"/>
    <w:rsid w:val="00285B4E"/>
    <w:rsid w:val="0028697E"/>
    <w:rsid w:val="00286A94"/>
    <w:rsid w:val="002878AA"/>
    <w:rsid w:val="00287924"/>
    <w:rsid w:val="00290C67"/>
    <w:rsid w:val="00290FBC"/>
    <w:rsid w:val="00291742"/>
    <w:rsid w:val="00292724"/>
    <w:rsid w:val="00292EDF"/>
    <w:rsid w:val="00294D97"/>
    <w:rsid w:val="002965CE"/>
    <w:rsid w:val="00296788"/>
    <w:rsid w:val="00297FA5"/>
    <w:rsid w:val="002A00DF"/>
    <w:rsid w:val="002A1C8A"/>
    <w:rsid w:val="002A1D04"/>
    <w:rsid w:val="002A1E4D"/>
    <w:rsid w:val="002A45E2"/>
    <w:rsid w:val="002A530A"/>
    <w:rsid w:val="002A5D8D"/>
    <w:rsid w:val="002B04E9"/>
    <w:rsid w:val="002B2893"/>
    <w:rsid w:val="002B3564"/>
    <w:rsid w:val="002B3B1E"/>
    <w:rsid w:val="002B3D5B"/>
    <w:rsid w:val="002B55CD"/>
    <w:rsid w:val="002B56AB"/>
    <w:rsid w:val="002B6E3D"/>
    <w:rsid w:val="002C05B4"/>
    <w:rsid w:val="002C0DD1"/>
    <w:rsid w:val="002C24FA"/>
    <w:rsid w:val="002C2BD5"/>
    <w:rsid w:val="002C2D6F"/>
    <w:rsid w:val="002C3AB5"/>
    <w:rsid w:val="002C4958"/>
    <w:rsid w:val="002C4AF8"/>
    <w:rsid w:val="002C5682"/>
    <w:rsid w:val="002C5A97"/>
    <w:rsid w:val="002C6212"/>
    <w:rsid w:val="002C6563"/>
    <w:rsid w:val="002C670B"/>
    <w:rsid w:val="002C6C80"/>
    <w:rsid w:val="002C7DEC"/>
    <w:rsid w:val="002D05DB"/>
    <w:rsid w:val="002D0B25"/>
    <w:rsid w:val="002D1D1D"/>
    <w:rsid w:val="002D2CFC"/>
    <w:rsid w:val="002D334B"/>
    <w:rsid w:val="002D39A3"/>
    <w:rsid w:val="002D480C"/>
    <w:rsid w:val="002D4A37"/>
    <w:rsid w:val="002D511D"/>
    <w:rsid w:val="002D5AC6"/>
    <w:rsid w:val="002D7A53"/>
    <w:rsid w:val="002E00CB"/>
    <w:rsid w:val="002E132B"/>
    <w:rsid w:val="002E14C2"/>
    <w:rsid w:val="002E4E23"/>
    <w:rsid w:val="002E50F2"/>
    <w:rsid w:val="002E55D0"/>
    <w:rsid w:val="002E5B3D"/>
    <w:rsid w:val="002E6C5A"/>
    <w:rsid w:val="002F03D1"/>
    <w:rsid w:val="002F1DD4"/>
    <w:rsid w:val="002F2121"/>
    <w:rsid w:val="002F26A2"/>
    <w:rsid w:val="002F2D0F"/>
    <w:rsid w:val="002F37A8"/>
    <w:rsid w:val="002F37A9"/>
    <w:rsid w:val="002F394E"/>
    <w:rsid w:val="002F47EB"/>
    <w:rsid w:val="002F535D"/>
    <w:rsid w:val="002F5D62"/>
    <w:rsid w:val="002F6B3A"/>
    <w:rsid w:val="00300E0B"/>
    <w:rsid w:val="00300E74"/>
    <w:rsid w:val="00302C16"/>
    <w:rsid w:val="00304529"/>
    <w:rsid w:val="00304B41"/>
    <w:rsid w:val="0030520E"/>
    <w:rsid w:val="00305DF2"/>
    <w:rsid w:val="003071DB"/>
    <w:rsid w:val="003100B2"/>
    <w:rsid w:val="0031078D"/>
    <w:rsid w:val="00310C29"/>
    <w:rsid w:val="00311C35"/>
    <w:rsid w:val="0031276E"/>
    <w:rsid w:val="00312B06"/>
    <w:rsid w:val="003135A3"/>
    <w:rsid w:val="00313C68"/>
    <w:rsid w:val="003150BD"/>
    <w:rsid w:val="003156B7"/>
    <w:rsid w:val="00317CE8"/>
    <w:rsid w:val="0032039D"/>
    <w:rsid w:val="00320F6B"/>
    <w:rsid w:val="003212D7"/>
    <w:rsid w:val="003223B9"/>
    <w:rsid w:val="00322C8F"/>
    <w:rsid w:val="00324396"/>
    <w:rsid w:val="0032501B"/>
    <w:rsid w:val="003253A5"/>
    <w:rsid w:val="00326FFE"/>
    <w:rsid w:val="00327385"/>
    <w:rsid w:val="00327984"/>
    <w:rsid w:val="00327E03"/>
    <w:rsid w:val="00331FB2"/>
    <w:rsid w:val="0033431B"/>
    <w:rsid w:val="003344F5"/>
    <w:rsid w:val="00335609"/>
    <w:rsid w:val="003416AC"/>
    <w:rsid w:val="00341B5D"/>
    <w:rsid w:val="00341E82"/>
    <w:rsid w:val="00342148"/>
    <w:rsid w:val="00342A81"/>
    <w:rsid w:val="00343271"/>
    <w:rsid w:val="003439C6"/>
    <w:rsid w:val="00345190"/>
    <w:rsid w:val="00346713"/>
    <w:rsid w:val="003474BE"/>
    <w:rsid w:val="00347F99"/>
    <w:rsid w:val="00350B26"/>
    <w:rsid w:val="00350B63"/>
    <w:rsid w:val="0035120F"/>
    <w:rsid w:val="003513DA"/>
    <w:rsid w:val="00351B14"/>
    <w:rsid w:val="00353179"/>
    <w:rsid w:val="003541C6"/>
    <w:rsid w:val="00354815"/>
    <w:rsid w:val="00354B45"/>
    <w:rsid w:val="003558A9"/>
    <w:rsid w:val="00355C03"/>
    <w:rsid w:val="003569AF"/>
    <w:rsid w:val="00357F2A"/>
    <w:rsid w:val="003600A6"/>
    <w:rsid w:val="00362435"/>
    <w:rsid w:val="00362857"/>
    <w:rsid w:val="00362B10"/>
    <w:rsid w:val="00363338"/>
    <w:rsid w:val="00363A29"/>
    <w:rsid w:val="00364180"/>
    <w:rsid w:val="00364ACA"/>
    <w:rsid w:val="0036529B"/>
    <w:rsid w:val="00366DEF"/>
    <w:rsid w:val="00372400"/>
    <w:rsid w:val="00374FAE"/>
    <w:rsid w:val="003751EE"/>
    <w:rsid w:val="00375C30"/>
    <w:rsid w:val="00376793"/>
    <w:rsid w:val="00376D3D"/>
    <w:rsid w:val="00377CD6"/>
    <w:rsid w:val="00381129"/>
    <w:rsid w:val="00381D59"/>
    <w:rsid w:val="00382018"/>
    <w:rsid w:val="00383B6F"/>
    <w:rsid w:val="00386E16"/>
    <w:rsid w:val="00391A0D"/>
    <w:rsid w:val="00391AFF"/>
    <w:rsid w:val="00391EA9"/>
    <w:rsid w:val="00391FAF"/>
    <w:rsid w:val="00392A04"/>
    <w:rsid w:val="00392DDB"/>
    <w:rsid w:val="003946BD"/>
    <w:rsid w:val="00395DDF"/>
    <w:rsid w:val="00396046"/>
    <w:rsid w:val="0039608A"/>
    <w:rsid w:val="00396D75"/>
    <w:rsid w:val="003976D7"/>
    <w:rsid w:val="00397B01"/>
    <w:rsid w:val="003A040E"/>
    <w:rsid w:val="003A0B64"/>
    <w:rsid w:val="003A0C2F"/>
    <w:rsid w:val="003A10CC"/>
    <w:rsid w:val="003A1591"/>
    <w:rsid w:val="003A2E96"/>
    <w:rsid w:val="003A48D4"/>
    <w:rsid w:val="003A6581"/>
    <w:rsid w:val="003A6830"/>
    <w:rsid w:val="003B03D6"/>
    <w:rsid w:val="003B0A04"/>
    <w:rsid w:val="003B161D"/>
    <w:rsid w:val="003B210F"/>
    <w:rsid w:val="003B3F52"/>
    <w:rsid w:val="003B74B7"/>
    <w:rsid w:val="003C0967"/>
    <w:rsid w:val="003C0995"/>
    <w:rsid w:val="003C1462"/>
    <w:rsid w:val="003C1F43"/>
    <w:rsid w:val="003C572B"/>
    <w:rsid w:val="003C5BD9"/>
    <w:rsid w:val="003C64AB"/>
    <w:rsid w:val="003C657F"/>
    <w:rsid w:val="003D1081"/>
    <w:rsid w:val="003D17CC"/>
    <w:rsid w:val="003D19AA"/>
    <w:rsid w:val="003D30EE"/>
    <w:rsid w:val="003D3173"/>
    <w:rsid w:val="003D418F"/>
    <w:rsid w:val="003D4331"/>
    <w:rsid w:val="003D7E2C"/>
    <w:rsid w:val="003E071D"/>
    <w:rsid w:val="003E1055"/>
    <w:rsid w:val="003E2023"/>
    <w:rsid w:val="003E2A2C"/>
    <w:rsid w:val="003E4A57"/>
    <w:rsid w:val="003E577F"/>
    <w:rsid w:val="003E5783"/>
    <w:rsid w:val="003E5919"/>
    <w:rsid w:val="003E6648"/>
    <w:rsid w:val="003E7BBA"/>
    <w:rsid w:val="003F0149"/>
    <w:rsid w:val="003F0270"/>
    <w:rsid w:val="003F09D5"/>
    <w:rsid w:val="003F13F9"/>
    <w:rsid w:val="003F24C9"/>
    <w:rsid w:val="003F2F9B"/>
    <w:rsid w:val="003F3492"/>
    <w:rsid w:val="003F508D"/>
    <w:rsid w:val="0040212D"/>
    <w:rsid w:val="00405E51"/>
    <w:rsid w:val="00406B83"/>
    <w:rsid w:val="00406EBF"/>
    <w:rsid w:val="00407AE1"/>
    <w:rsid w:val="00411E66"/>
    <w:rsid w:val="00412CB5"/>
    <w:rsid w:val="00413318"/>
    <w:rsid w:val="0041349C"/>
    <w:rsid w:val="00417DFD"/>
    <w:rsid w:val="00420BCF"/>
    <w:rsid w:val="00421866"/>
    <w:rsid w:val="00422526"/>
    <w:rsid w:val="00422ED7"/>
    <w:rsid w:val="00423768"/>
    <w:rsid w:val="004254F0"/>
    <w:rsid w:val="00425CE7"/>
    <w:rsid w:val="0042618E"/>
    <w:rsid w:val="004327DD"/>
    <w:rsid w:val="00432954"/>
    <w:rsid w:val="00433B98"/>
    <w:rsid w:val="0043684B"/>
    <w:rsid w:val="00437538"/>
    <w:rsid w:val="00437742"/>
    <w:rsid w:val="00440E03"/>
    <w:rsid w:val="00442139"/>
    <w:rsid w:val="00443956"/>
    <w:rsid w:val="00444468"/>
    <w:rsid w:val="004446AA"/>
    <w:rsid w:val="00444818"/>
    <w:rsid w:val="0044532F"/>
    <w:rsid w:val="00446F0B"/>
    <w:rsid w:val="004504C1"/>
    <w:rsid w:val="00450981"/>
    <w:rsid w:val="00451E4A"/>
    <w:rsid w:val="00452A53"/>
    <w:rsid w:val="0045378B"/>
    <w:rsid w:val="00454DEC"/>
    <w:rsid w:val="00456BC9"/>
    <w:rsid w:val="004573FE"/>
    <w:rsid w:val="00461FEF"/>
    <w:rsid w:val="004620C1"/>
    <w:rsid w:val="00462E1A"/>
    <w:rsid w:val="00464ED7"/>
    <w:rsid w:val="0046610C"/>
    <w:rsid w:val="004670FC"/>
    <w:rsid w:val="0046778C"/>
    <w:rsid w:val="00470C31"/>
    <w:rsid w:val="00470F3B"/>
    <w:rsid w:val="00472EA0"/>
    <w:rsid w:val="00474425"/>
    <w:rsid w:val="004744C4"/>
    <w:rsid w:val="0047481B"/>
    <w:rsid w:val="00475281"/>
    <w:rsid w:val="0047567C"/>
    <w:rsid w:val="00476F3D"/>
    <w:rsid w:val="004778CE"/>
    <w:rsid w:val="0048158B"/>
    <w:rsid w:val="00481CF1"/>
    <w:rsid w:val="0048237A"/>
    <w:rsid w:val="0048248B"/>
    <w:rsid w:val="00482721"/>
    <w:rsid w:val="00484DD4"/>
    <w:rsid w:val="00492123"/>
    <w:rsid w:val="0049268F"/>
    <w:rsid w:val="004959CE"/>
    <w:rsid w:val="00496275"/>
    <w:rsid w:val="004968C4"/>
    <w:rsid w:val="00496AAD"/>
    <w:rsid w:val="00496F44"/>
    <w:rsid w:val="0049799D"/>
    <w:rsid w:val="004A0A43"/>
    <w:rsid w:val="004A1AB3"/>
    <w:rsid w:val="004A29AF"/>
    <w:rsid w:val="004A30B9"/>
    <w:rsid w:val="004A4036"/>
    <w:rsid w:val="004A427F"/>
    <w:rsid w:val="004A4783"/>
    <w:rsid w:val="004A4973"/>
    <w:rsid w:val="004A541C"/>
    <w:rsid w:val="004A5FC1"/>
    <w:rsid w:val="004A734D"/>
    <w:rsid w:val="004A75D4"/>
    <w:rsid w:val="004A76D3"/>
    <w:rsid w:val="004B41A3"/>
    <w:rsid w:val="004B7F27"/>
    <w:rsid w:val="004C358E"/>
    <w:rsid w:val="004C386B"/>
    <w:rsid w:val="004C3D79"/>
    <w:rsid w:val="004C4B34"/>
    <w:rsid w:val="004C65F3"/>
    <w:rsid w:val="004C740E"/>
    <w:rsid w:val="004C7A1D"/>
    <w:rsid w:val="004C7B55"/>
    <w:rsid w:val="004C7C3F"/>
    <w:rsid w:val="004D3411"/>
    <w:rsid w:val="004D3541"/>
    <w:rsid w:val="004D45C2"/>
    <w:rsid w:val="004D4F88"/>
    <w:rsid w:val="004D5659"/>
    <w:rsid w:val="004D5908"/>
    <w:rsid w:val="004D5C62"/>
    <w:rsid w:val="004E0506"/>
    <w:rsid w:val="004E0BEB"/>
    <w:rsid w:val="004E0DA2"/>
    <w:rsid w:val="004E1973"/>
    <w:rsid w:val="004E1E36"/>
    <w:rsid w:val="004E2314"/>
    <w:rsid w:val="004E41FB"/>
    <w:rsid w:val="004E45D9"/>
    <w:rsid w:val="004E4931"/>
    <w:rsid w:val="004E4DB7"/>
    <w:rsid w:val="004F1301"/>
    <w:rsid w:val="004F1F99"/>
    <w:rsid w:val="004F36A6"/>
    <w:rsid w:val="004F391C"/>
    <w:rsid w:val="004F4A03"/>
    <w:rsid w:val="004F4B40"/>
    <w:rsid w:val="004F5FD0"/>
    <w:rsid w:val="004F7542"/>
    <w:rsid w:val="004F7EE2"/>
    <w:rsid w:val="0050693D"/>
    <w:rsid w:val="00510BCB"/>
    <w:rsid w:val="005124D1"/>
    <w:rsid w:val="00512FD1"/>
    <w:rsid w:val="005149F2"/>
    <w:rsid w:val="005158B8"/>
    <w:rsid w:val="00516C6B"/>
    <w:rsid w:val="005219C2"/>
    <w:rsid w:val="00523C6A"/>
    <w:rsid w:val="00525E6B"/>
    <w:rsid w:val="005266AB"/>
    <w:rsid w:val="00526E27"/>
    <w:rsid w:val="005275B8"/>
    <w:rsid w:val="005276F8"/>
    <w:rsid w:val="00527D2A"/>
    <w:rsid w:val="00530AB2"/>
    <w:rsid w:val="005322BC"/>
    <w:rsid w:val="0053248D"/>
    <w:rsid w:val="005330FE"/>
    <w:rsid w:val="00533162"/>
    <w:rsid w:val="00533B68"/>
    <w:rsid w:val="00536753"/>
    <w:rsid w:val="00537223"/>
    <w:rsid w:val="00537AAD"/>
    <w:rsid w:val="005410ED"/>
    <w:rsid w:val="005435D2"/>
    <w:rsid w:val="005448F1"/>
    <w:rsid w:val="00544F9F"/>
    <w:rsid w:val="0054624B"/>
    <w:rsid w:val="00546276"/>
    <w:rsid w:val="0054655B"/>
    <w:rsid w:val="00547C78"/>
    <w:rsid w:val="0055144C"/>
    <w:rsid w:val="00552B6F"/>
    <w:rsid w:val="0055542D"/>
    <w:rsid w:val="00556155"/>
    <w:rsid w:val="00560FF2"/>
    <w:rsid w:val="00561F48"/>
    <w:rsid w:val="005642D9"/>
    <w:rsid w:val="0056463B"/>
    <w:rsid w:val="005647E1"/>
    <w:rsid w:val="00564DA7"/>
    <w:rsid w:val="00565C89"/>
    <w:rsid w:val="00567280"/>
    <w:rsid w:val="00567839"/>
    <w:rsid w:val="0057172E"/>
    <w:rsid w:val="005729D2"/>
    <w:rsid w:val="00572DA6"/>
    <w:rsid w:val="00573AF4"/>
    <w:rsid w:val="005749AB"/>
    <w:rsid w:val="0057523E"/>
    <w:rsid w:val="00575517"/>
    <w:rsid w:val="00575D66"/>
    <w:rsid w:val="00575FBF"/>
    <w:rsid w:val="005764FA"/>
    <w:rsid w:val="00577304"/>
    <w:rsid w:val="0057770B"/>
    <w:rsid w:val="0058002B"/>
    <w:rsid w:val="005804E4"/>
    <w:rsid w:val="0058282D"/>
    <w:rsid w:val="00582838"/>
    <w:rsid w:val="005829D5"/>
    <w:rsid w:val="00584190"/>
    <w:rsid w:val="00584876"/>
    <w:rsid w:val="0058599F"/>
    <w:rsid w:val="00585CF3"/>
    <w:rsid w:val="00585DC2"/>
    <w:rsid w:val="00587F89"/>
    <w:rsid w:val="005916AA"/>
    <w:rsid w:val="005941B9"/>
    <w:rsid w:val="005956AA"/>
    <w:rsid w:val="005958FC"/>
    <w:rsid w:val="005959C3"/>
    <w:rsid w:val="00596B97"/>
    <w:rsid w:val="00597CCB"/>
    <w:rsid w:val="00597E0B"/>
    <w:rsid w:val="005A00B8"/>
    <w:rsid w:val="005A161C"/>
    <w:rsid w:val="005A1C34"/>
    <w:rsid w:val="005A1F9D"/>
    <w:rsid w:val="005A20C6"/>
    <w:rsid w:val="005A34C0"/>
    <w:rsid w:val="005A3A2B"/>
    <w:rsid w:val="005A4A3B"/>
    <w:rsid w:val="005A5BCD"/>
    <w:rsid w:val="005A61A4"/>
    <w:rsid w:val="005A6C82"/>
    <w:rsid w:val="005A7D19"/>
    <w:rsid w:val="005B0597"/>
    <w:rsid w:val="005B1546"/>
    <w:rsid w:val="005B174D"/>
    <w:rsid w:val="005B2553"/>
    <w:rsid w:val="005B3406"/>
    <w:rsid w:val="005B4C9E"/>
    <w:rsid w:val="005B5157"/>
    <w:rsid w:val="005B5BD5"/>
    <w:rsid w:val="005B7322"/>
    <w:rsid w:val="005C05F2"/>
    <w:rsid w:val="005C0707"/>
    <w:rsid w:val="005C0A34"/>
    <w:rsid w:val="005C2E23"/>
    <w:rsid w:val="005C4E9F"/>
    <w:rsid w:val="005C6E25"/>
    <w:rsid w:val="005D02C8"/>
    <w:rsid w:val="005D0365"/>
    <w:rsid w:val="005D0FA3"/>
    <w:rsid w:val="005D1D15"/>
    <w:rsid w:val="005D1E05"/>
    <w:rsid w:val="005D332D"/>
    <w:rsid w:val="005D39C5"/>
    <w:rsid w:val="005D4F19"/>
    <w:rsid w:val="005D6187"/>
    <w:rsid w:val="005E0665"/>
    <w:rsid w:val="005E07F1"/>
    <w:rsid w:val="005E1D69"/>
    <w:rsid w:val="005E2831"/>
    <w:rsid w:val="005E3627"/>
    <w:rsid w:val="005E5220"/>
    <w:rsid w:val="005E63E4"/>
    <w:rsid w:val="005E6507"/>
    <w:rsid w:val="005E677E"/>
    <w:rsid w:val="005F33D8"/>
    <w:rsid w:val="005F46BD"/>
    <w:rsid w:val="005F48A3"/>
    <w:rsid w:val="005F5400"/>
    <w:rsid w:val="005F573E"/>
    <w:rsid w:val="005F6205"/>
    <w:rsid w:val="005F661F"/>
    <w:rsid w:val="005F7F84"/>
    <w:rsid w:val="006009FB"/>
    <w:rsid w:val="006020B6"/>
    <w:rsid w:val="006024B0"/>
    <w:rsid w:val="00602F4D"/>
    <w:rsid w:val="00603026"/>
    <w:rsid w:val="0060395E"/>
    <w:rsid w:val="00603AAF"/>
    <w:rsid w:val="00603C83"/>
    <w:rsid w:val="006042AA"/>
    <w:rsid w:val="00604E79"/>
    <w:rsid w:val="00605A27"/>
    <w:rsid w:val="0060612F"/>
    <w:rsid w:val="006077B6"/>
    <w:rsid w:val="00610C25"/>
    <w:rsid w:val="00612F0C"/>
    <w:rsid w:val="00612FA0"/>
    <w:rsid w:val="00614DC3"/>
    <w:rsid w:val="006150CF"/>
    <w:rsid w:val="006153EB"/>
    <w:rsid w:val="00616692"/>
    <w:rsid w:val="00616E84"/>
    <w:rsid w:val="0061723B"/>
    <w:rsid w:val="00617E60"/>
    <w:rsid w:val="00620683"/>
    <w:rsid w:val="00621E7C"/>
    <w:rsid w:val="00622381"/>
    <w:rsid w:val="00622756"/>
    <w:rsid w:val="00622F2C"/>
    <w:rsid w:val="006245C7"/>
    <w:rsid w:val="006246D5"/>
    <w:rsid w:val="00624AA3"/>
    <w:rsid w:val="006272EC"/>
    <w:rsid w:val="006279B2"/>
    <w:rsid w:val="006301FE"/>
    <w:rsid w:val="00631706"/>
    <w:rsid w:val="00631CA7"/>
    <w:rsid w:val="00632CE6"/>
    <w:rsid w:val="006347D8"/>
    <w:rsid w:val="0063625F"/>
    <w:rsid w:val="00636E03"/>
    <w:rsid w:val="0064123A"/>
    <w:rsid w:val="00642167"/>
    <w:rsid w:val="006429C8"/>
    <w:rsid w:val="00644C61"/>
    <w:rsid w:val="00647416"/>
    <w:rsid w:val="00647C3A"/>
    <w:rsid w:val="006502C6"/>
    <w:rsid w:val="00650CF1"/>
    <w:rsid w:val="00651068"/>
    <w:rsid w:val="00651BDC"/>
    <w:rsid w:val="00651C23"/>
    <w:rsid w:val="00654D96"/>
    <w:rsid w:val="00654F86"/>
    <w:rsid w:val="00655D0C"/>
    <w:rsid w:val="006570A5"/>
    <w:rsid w:val="00657E22"/>
    <w:rsid w:val="0066013F"/>
    <w:rsid w:val="00660701"/>
    <w:rsid w:val="00660928"/>
    <w:rsid w:val="006617D3"/>
    <w:rsid w:val="00662F16"/>
    <w:rsid w:val="00665DFE"/>
    <w:rsid w:val="00666BA2"/>
    <w:rsid w:val="00666D73"/>
    <w:rsid w:val="006671A1"/>
    <w:rsid w:val="00667AD2"/>
    <w:rsid w:val="0067021F"/>
    <w:rsid w:val="00673C09"/>
    <w:rsid w:val="006747E5"/>
    <w:rsid w:val="00674B14"/>
    <w:rsid w:val="00674DAF"/>
    <w:rsid w:val="006771E7"/>
    <w:rsid w:val="006773E1"/>
    <w:rsid w:val="006813E8"/>
    <w:rsid w:val="00681B74"/>
    <w:rsid w:val="0068407E"/>
    <w:rsid w:val="00684B47"/>
    <w:rsid w:val="00684F6A"/>
    <w:rsid w:val="00685A32"/>
    <w:rsid w:val="00687A3E"/>
    <w:rsid w:val="006906A3"/>
    <w:rsid w:val="00690B05"/>
    <w:rsid w:val="00691653"/>
    <w:rsid w:val="006920E2"/>
    <w:rsid w:val="00692919"/>
    <w:rsid w:val="006940F7"/>
    <w:rsid w:val="00694886"/>
    <w:rsid w:val="0069533E"/>
    <w:rsid w:val="00696741"/>
    <w:rsid w:val="006A1094"/>
    <w:rsid w:val="006A1AAD"/>
    <w:rsid w:val="006A25E5"/>
    <w:rsid w:val="006A4280"/>
    <w:rsid w:val="006A5308"/>
    <w:rsid w:val="006A5710"/>
    <w:rsid w:val="006A5A88"/>
    <w:rsid w:val="006A67C1"/>
    <w:rsid w:val="006A72CB"/>
    <w:rsid w:val="006A743F"/>
    <w:rsid w:val="006B090D"/>
    <w:rsid w:val="006B1E39"/>
    <w:rsid w:val="006B24FC"/>
    <w:rsid w:val="006B290E"/>
    <w:rsid w:val="006B3323"/>
    <w:rsid w:val="006B4AAA"/>
    <w:rsid w:val="006B6975"/>
    <w:rsid w:val="006B7FFE"/>
    <w:rsid w:val="006C09F0"/>
    <w:rsid w:val="006C14ED"/>
    <w:rsid w:val="006C18B5"/>
    <w:rsid w:val="006C2165"/>
    <w:rsid w:val="006C24C7"/>
    <w:rsid w:val="006C421D"/>
    <w:rsid w:val="006C44AA"/>
    <w:rsid w:val="006C582A"/>
    <w:rsid w:val="006C5DDA"/>
    <w:rsid w:val="006C6783"/>
    <w:rsid w:val="006C67E8"/>
    <w:rsid w:val="006C6CB6"/>
    <w:rsid w:val="006C7884"/>
    <w:rsid w:val="006D0010"/>
    <w:rsid w:val="006D03CA"/>
    <w:rsid w:val="006D169D"/>
    <w:rsid w:val="006D1F6D"/>
    <w:rsid w:val="006D23A8"/>
    <w:rsid w:val="006D24D4"/>
    <w:rsid w:val="006D3911"/>
    <w:rsid w:val="006D436E"/>
    <w:rsid w:val="006D48F3"/>
    <w:rsid w:val="006D49A2"/>
    <w:rsid w:val="006D7062"/>
    <w:rsid w:val="006E0F5F"/>
    <w:rsid w:val="006E1B8D"/>
    <w:rsid w:val="006E2DDC"/>
    <w:rsid w:val="006E2F50"/>
    <w:rsid w:val="006E3545"/>
    <w:rsid w:val="006E4089"/>
    <w:rsid w:val="006E48E6"/>
    <w:rsid w:val="006F10BA"/>
    <w:rsid w:val="006F1407"/>
    <w:rsid w:val="006F6384"/>
    <w:rsid w:val="006F71D4"/>
    <w:rsid w:val="00700064"/>
    <w:rsid w:val="0070058A"/>
    <w:rsid w:val="00701CC6"/>
    <w:rsid w:val="007024FF"/>
    <w:rsid w:val="007025E5"/>
    <w:rsid w:val="00702904"/>
    <w:rsid w:val="00702F1A"/>
    <w:rsid w:val="0070309A"/>
    <w:rsid w:val="00704B23"/>
    <w:rsid w:val="00707656"/>
    <w:rsid w:val="00711617"/>
    <w:rsid w:val="0071275A"/>
    <w:rsid w:val="007128A2"/>
    <w:rsid w:val="00713270"/>
    <w:rsid w:val="00713E54"/>
    <w:rsid w:val="00714029"/>
    <w:rsid w:val="00716319"/>
    <w:rsid w:val="00717844"/>
    <w:rsid w:val="007207C8"/>
    <w:rsid w:val="00721880"/>
    <w:rsid w:val="00722A68"/>
    <w:rsid w:val="00723C78"/>
    <w:rsid w:val="007249D0"/>
    <w:rsid w:val="00724FFA"/>
    <w:rsid w:val="00725390"/>
    <w:rsid w:val="0072541B"/>
    <w:rsid w:val="0072691D"/>
    <w:rsid w:val="00726C24"/>
    <w:rsid w:val="0072711B"/>
    <w:rsid w:val="0073146E"/>
    <w:rsid w:val="007334E3"/>
    <w:rsid w:val="00733AC2"/>
    <w:rsid w:val="00733B56"/>
    <w:rsid w:val="007343AD"/>
    <w:rsid w:val="00734BF4"/>
    <w:rsid w:val="00734CC4"/>
    <w:rsid w:val="007357F8"/>
    <w:rsid w:val="00735E02"/>
    <w:rsid w:val="007412A1"/>
    <w:rsid w:val="007417AD"/>
    <w:rsid w:val="007418AC"/>
    <w:rsid w:val="007424EA"/>
    <w:rsid w:val="00742BCA"/>
    <w:rsid w:val="007432C4"/>
    <w:rsid w:val="00743783"/>
    <w:rsid w:val="00744571"/>
    <w:rsid w:val="00745016"/>
    <w:rsid w:val="007458DC"/>
    <w:rsid w:val="00745C4C"/>
    <w:rsid w:val="00746A89"/>
    <w:rsid w:val="00746B87"/>
    <w:rsid w:val="00747EFB"/>
    <w:rsid w:val="007506C2"/>
    <w:rsid w:val="00751F01"/>
    <w:rsid w:val="007533DA"/>
    <w:rsid w:val="007539F7"/>
    <w:rsid w:val="00754177"/>
    <w:rsid w:val="007553F8"/>
    <w:rsid w:val="00755AC7"/>
    <w:rsid w:val="00756B38"/>
    <w:rsid w:val="00760B3B"/>
    <w:rsid w:val="0076133B"/>
    <w:rsid w:val="007614BB"/>
    <w:rsid w:val="00761A09"/>
    <w:rsid w:val="0076241E"/>
    <w:rsid w:val="00762A56"/>
    <w:rsid w:val="00762BA5"/>
    <w:rsid w:val="00764487"/>
    <w:rsid w:val="00765589"/>
    <w:rsid w:val="00765B65"/>
    <w:rsid w:val="00766438"/>
    <w:rsid w:val="00766849"/>
    <w:rsid w:val="00767D48"/>
    <w:rsid w:val="0077143F"/>
    <w:rsid w:val="00771519"/>
    <w:rsid w:val="007737C9"/>
    <w:rsid w:val="00780BDC"/>
    <w:rsid w:val="00781CBD"/>
    <w:rsid w:val="00781CD4"/>
    <w:rsid w:val="00782010"/>
    <w:rsid w:val="00783E95"/>
    <w:rsid w:val="00784F9D"/>
    <w:rsid w:val="007855EB"/>
    <w:rsid w:val="00785CFF"/>
    <w:rsid w:val="00786CDB"/>
    <w:rsid w:val="00787887"/>
    <w:rsid w:val="00787FA4"/>
    <w:rsid w:val="00792095"/>
    <w:rsid w:val="0079224B"/>
    <w:rsid w:val="007929D0"/>
    <w:rsid w:val="007934B0"/>
    <w:rsid w:val="007934F2"/>
    <w:rsid w:val="00794E3E"/>
    <w:rsid w:val="00794F3D"/>
    <w:rsid w:val="0079661A"/>
    <w:rsid w:val="00797293"/>
    <w:rsid w:val="00797B48"/>
    <w:rsid w:val="00797E21"/>
    <w:rsid w:val="007A0731"/>
    <w:rsid w:val="007A1D4A"/>
    <w:rsid w:val="007A2659"/>
    <w:rsid w:val="007A3325"/>
    <w:rsid w:val="007A37C8"/>
    <w:rsid w:val="007A3B20"/>
    <w:rsid w:val="007A5BE6"/>
    <w:rsid w:val="007A75A8"/>
    <w:rsid w:val="007B002D"/>
    <w:rsid w:val="007B08C6"/>
    <w:rsid w:val="007B09CD"/>
    <w:rsid w:val="007B0BA6"/>
    <w:rsid w:val="007B0EA3"/>
    <w:rsid w:val="007B17D7"/>
    <w:rsid w:val="007B1FCA"/>
    <w:rsid w:val="007B238D"/>
    <w:rsid w:val="007B2770"/>
    <w:rsid w:val="007B3691"/>
    <w:rsid w:val="007B3D1F"/>
    <w:rsid w:val="007B7307"/>
    <w:rsid w:val="007B799F"/>
    <w:rsid w:val="007B7A9F"/>
    <w:rsid w:val="007C0F41"/>
    <w:rsid w:val="007C0FEC"/>
    <w:rsid w:val="007C15DE"/>
    <w:rsid w:val="007C1689"/>
    <w:rsid w:val="007C2277"/>
    <w:rsid w:val="007C2C09"/>
    <w:rsid w:val="007C3103"/>
    <w:rsid w:val="007C3AD0"/>
    <w:rsid w:val="007C54B2"/>
    <w:rsid w:val="007C591B"/>
    <w:rsid w:val="007C61CB"/>
    <w:rsid w:val="007C66FB"/>
    <w:rsid w:val="007C6B49"/>
    <w:rsid w:val="007D0DE8"/>
    <w:rsid w:val="007D0E12"/>
    <w:rsid w:val="007D179D"/>
    <w:rsid w:val="007D1BD0"/>
    <w:rsid w:val="007D223A"/>
    <w:rsid w:val="007D25F1"/>
    <w:rsid w:val="007D39D3"/>
    <w:rsid w:val="007D4EF5"/>
    <w:rsid w:val="007D62DD"/>
    <w:rsid w:val="007D663D"/>
    <w:rsid w:val="007D7259"/>
    <w:rsid w:val="007D7674"/>
    <w:rsid w:val="007E012D"/>
    <w:rsid w:val="007E089B"/>
    <w:rsid w:val="007E2F51"/>
    <w:rsid w:val="007E3472"/>
    <w:rsid w:val="007E3AB8"/>
    <w:rsid w:val="007E3D57"/>
    <w:rsid w:val="007E5F4C"/>
    <w:rsid w:val="007E6C9F"/>
    <w:rsid w:val="007E71B0"/>
    <w:rsid w:val="007F18B7"/>
    <w:rsid w:val="007F1DE6"/>
    <w:rsid w:val="007F22CE"/>
    <w:rsid w:val="007F2587"/>
    <w:rsid w:val="007F348D"/>
    <w:rsid w:val="007F4EE9"/>
    <w:rsid w:val="007F6706"/>
    <w:rsid w:val="007F70C3"/>
    <w:rsid w:val="007F7137"/>
    <w:rsid w:val="007F7B1E"/>
    <w:rsid w:val="007F7DDE"/>
    <w:rsid w:val="00801BC7"/>
    <w:rsid w:val="00801DA7"/>
    <w:rsid w:val="00804DAA"/>
    <w:rsid w:val="00805170"/>
    <w:rsid w:val="0080531E"/>
    <w:rsid w:val="00806366"/>
    <w:rsid w:val="00806531"/>
    <w:rsid w:val="00806D9C"/>
    <w:rsid w:val="008113CE"/>
    <w:rsid w:val="008115FE"/>
    <w:rsid w:val="00813FAD"/>
    <w:rsid w:val="0081412D"/>
    <w:rsid w:val="00815E2F"/>
    <w:rsid w:val="00816E15"/>
    <w:rsid w:val="00817514"/>
    <w:rsid w:val="008200D5"/>
    <w:rsid w:val="00821B59"/>
    <w:rsid w:val="00824FBC"/>
    <w:rsid w:val="008257BB"/>
    <w:rsid w:val="0082580F"/>
    <w:rsid w:val="00825F1C"/>
    <w:rsid w:val="00826168"/>
    <w:rsid w:val="008262A5"/>
    <w:rsid w:val="00827752"/>
    <w:rsid w:val="00827C94"/>
    <w:rsid w:val="00827FA9"/>
    <w:rsid w:val="0083060C"/>
    <w:rsid w:val="00831368"/>
    <w:rsid w:val="0083142D"/>
    <w:rsid w:val="00831F03"/>
    <w:rsid w:val="0083301A"/>
    <w:rsid w:val="008334AB"/>
    <w:rsid w:val="00833962"/>
    <w:rsid w:val="00840D49"/>
    <w:rsid w:val="00840F10"/>
    <w:rsid w:val="0084127E"/>
    <w:rsid w:val="008417FE"/>
    <w:rsid w:val="00841939"/>
    <w:rsid w:val="008419ED"/>
    <w:rsid w:val="008430BA"/>
    <w:rsid w:val="0084457F"/>
    <w:rsid w:val="008450E4"/>
    <w:rsid w:val="00845BCD"/>
    <w:rsid w:val="00847008"/>
    <w:rsid w:val="008523D3"/>
    <w:rsid w:val="00853E4C"/>
    <w:rsid w:val="00854398"/>
    <w:rsid w:val="0085470F"/>
    <w:rsid w:val="0086074A"/>
    <w:rsid w:val="00860F31"/>
    <w:rsid w:val="00861459"/>
    <w:rsid w:val="008620D0"/>
    <w:rsid w:val="0086243D"/>
    <w:rsid w:val="00862D24"/>
    <w:rsid w:val="00863B20"/>
    <w:rsid w:val="0086531F"/>
    <w:rsid w:val="00865C99"/>
    <w:rsid w:val="0086625D"/>
    <w:rsid w:val="0086655F"/>
    <w:rsid w:val="00871561"/>
    <w:rsid w:val="0087192F"/>
    <w:rsid w:val="00872730"/>
    <w:rsid w:val="008731AB"/>
    <w:rsid w:val="00873BA7"/>
    <w:rsid w:val="008757B6"/>
    <w:rsid w:val="00875F00"/>
    <w:rsid w:val="008767F1"/>
    <w:rsid w:val="00880279"/>
    <w:rsid w:val="00883BCD"/>
    <w:rsid w:val="008858A6"/>
    <w:rsid w:val="00892179"/>
    <w:rsid w:val="00894F56"/>
    <w:rsid w:val="00896DE0"/>
    <w:rsid w:val="008A0544"/>
    <w:rsid w:val="008A1C7B"/>
    <w:rsid w:val="008A3D59"/>
    <w:rsid w:val="008A41DA"/>
    <w:rsid w:val="008A5A8F"/>
    <w:rsid w:val="008A5BEA"/>
    <w:rsid w:val="008A728B"/>
    <w:rsid w:val="008A7B7A"/>
    <w:rsid w:val="008B21B8"/>
    <w:rsid w:val="008B23A6"/>
    <w:rsid w:val="008B417A"/>
    <w:rsid w:val="008B4998"/>
    <w:rsid w:val="008B4DBE"/>
    <w:rsid w:val="008C017E"/>
    <w:rsid w:val="008C068B"/>
    <w:rsid w:val="008C2482"/>
    <w:rsid w:val="008C3EC8"/>
    <w:rsid w:val="008C46F7"/>
    <w:rsid w:val="008C48E4"/>
    <w:rsid w:val="008C4A9F"/>
    <w:rsid w:val="008C6312"/>
    <w:rsid w:val="008C7F37"/>
    <w:rsid w:val="008D0013"/>
    <w:rsid w:val="008D0A5D"/>
    <w:rsid w:val="008D0C42"/>
    <w:rsid w:val="008D0E7E"/>
    <w:rsid w:val="008D1262"/>
    <w:rsid w:val="008D30BE"/>
    <w:rsid w:val="008D4BA2"/>
    <w:rsid w:val="008D5432"/>
    <w:rsid w:val="008D77A3"/>
    <w:rsid w:val="008D79B8"/>
    <w:rsid w:val="008E2F68"/>
    <w:rsid w:val="008E32D9"/>
    <w:rsid w:val="008E3DB3"/>
    <w:rsid w:val="008E65CC"/>
    <w:rsid w:val="008E7169"/>
    <w:rsid w:val="008F0822"/>
    <w:rsid w:val="008F189D"/>
    <w:rsid w:val="008F24FD"/>
    <w:rsid w:val="008F3249"/>
    <w:rsid w:val="008F400B"/>
    <w:rsid w:val="008F4F3A"/>
    <w:rsid w:val="008F6E35"/>
    <w:rsid w:val="008F79A1"/>
    <w:rsid w:val="009012CB"/>
    <w:rsid w:val="00902D98"/>
    <w:rsid w:val="00904D08"/>
    <w:rsid w:val="00904F82"/>
    <w:rsid w:val="00905620"/>
    <w:rsid w:val="0090570F"/>
    <w:rsid w:val="00905E42"/>
    <w:rsid w:val="00906B2F"/>
    <w:rsid w:val="00906B87"/>
    <w:rsid w:val="00906BE3"/>
    <w:rsid w:val="00911302"/>
    <w:rsid w:val="009114B6"/>
    <w:rsid w:val="009148EC"/>
    <w:rsid w:val="0091517A"/>
    <w:rsid w:val="00915349"/>
    <w:rsid w:val="0091645B"/>
    <w:rsid w:val="009167BB"/>
    <w:rsid w:val="00916FBA"/>
    <w:rsid w:val="009214A7"/>
    <w:rsid w:val="00923BA3"/>
    <w:rsid w:val="00923BBA"/>
    <w:rsid w:val="00923BF6"/>
    <w:rsid w:val="00924234"/>
    <w:rsid w:val="00924C40"/>
    <w:rsid w:val="00924D15"/>
    <w:rsid w:val="00925D40"/>
    <w:rsid w:val="00927470"/>
    <w:rsid w:val="009279BF"/>
    <w:rsid w:val="0093174A"/>
    <w:rsid w:val="00931B1B"/>
    <w:rsid w:val="009321DC"/>
    <w:rsid w:val="00932CA3"/>
    <w:rsid w:val="00936ACD"/>
    <w:rsid w:val="00936BEE"/>
    <w:rsid w:val="00937736"/>
    <w:rsid w:val="00937E54"/>
    <w:rsid w:val="00940B49"/>
    <w:rsid w:val="00941F09"/>
    <w:rsid w:val="00942004"/>
    <w:rsid w:val="00942893"/>
    <w:rsid w:val="009443C0"/>
    <w:rsid w:val="009452E6"/>
    <w:rsid w:val="00945F94"/>
    <w:rsid w:val="00946255"/>
    <w:rsid w:val="00946716"/>
    <w:rsid w:val="00950492"/>
    <w:rsid w:val="009505FD"/>
    <w:rsid w:val="00950EEE"/>
    <w:rsid w:val="009512A0"/>
    <w:rsid w:val="009521BC"/>
    <w:rsid w:val="00952A04"/>
    <w:rsid w:val="00953279"/>
    <w:rsid w:val="0095550C"/>
    <w:rsid w:val="00955EDE"/>
    <w:rsid w:val="00956C06"/>
    <w:rsid w:val="00956F9D"/>
    <w:rsid w:val="009570E5"/>
    <w:rsid w:val="00957E48"/>
    <w:rsid w:val="00960148"/>
    <w:rsid w:val="0096137D"/>
    <w:rsid w:val="00961B80"/>
    <w:rsid w:val="00962715"/>
    <w:rsid w:val="00962766"/>
    <w:rsid w:val="00964B2E"/>
    <w:rsid w:val="0096508C"/>
    <w:rsid w:val="009655FA"/>
    <w:rsid w:val="00965AF0"/>
    <w:rsid w:val="00966448"/>
    <w:rsid w:val="00971AAB"/>
    <w:rsid w:val="0097210D"/>
    <w:rsid w:val="00973429"/>
    <w:rsid w:val="00975595"/>
    <w:rsid w:val="00975D3B"/>
    <w:rsid w:val="00977F0E"/>
    <w:rsid w:val="0098014F"/>
    <w:rsid w:val="0098087F"/>
    <w:rsid w:val="009810C5"/>
    <w:rsid w:val="0098138A"/>
    <w:rsid w:val="009814FA"/>
    <w:rsid w:val="00981B2A"/>
    <w:rsid w:val="00981CFD"/>
    <w:rsid w:val="0098267C"/>
    <w:rsid w:val="00983309"/>
    <w:rsid w:val="0098414B"/>
    <w:rsid w:val="0098435B"/>
    <w:rsid w:val="00984842"/>
    <w:rsid w:val="00986B8E"/>
    <w:rsid w:val="00986DC2"/>
    <w:rsid w:val="00987E31"/>
    <w:rsid w:val="00990517"/>
    <w:rsid w:val="009905A8"/>
    <w:rsid w:val="0099083E"/>
    <w:rsid w:val="00990A5E"/>
    <w:rsid w:val="00991D44"/>
    <w:rsid w:val="009920F6"/>
    <w:rsid w:val="00992EF4"/>
    <w:rsid w:val="0099325E"/>
    <w:rsid w:val="00993C74"/>
    <w:rsid w:val="00993E6C"/>
    <w:rsid w:val="009940DB"/>
    <w:rsid w:val="00994841"/>
    <w:rsid w:val="00995205"/>
    <w:rsid w:val="00995935"/>
    <w:rsid w:val="00996825"/>
    <w:rsid w:val="00996A60"/>
    <w:rsid w:val="00996F42"/>
    <w:rsid w:val="009A0C6D"/>
    <w:rsid w:val="009A1835"/>
    <w:rsid w:val="009A2CB6"/>
    <w:rsid w:val="009A3BB9"/>
    <w:rsid w:val="009A469F"/>
    <w:rsid w:val="009A53FE"/>
    <w:rsid w:val="009A5CED"/>
    <w:rsid w:val="009A5E92"/>
    <w:rsid w:val="009A68C3"/>
    <w:rsid w:val="009A6A1A"/>
    <w:rsid w:val="009A6DD2"/>
    <w:rsid w:val="009B2754"/>
    <w:rsid w:val="009B470F"/>
    <w:rsid w:val="009B55F3"/>
    <w:rsid w:val="009B5896"/>
    <w:rsid w:val="009B5EE2"/>
    <w:rsid w:val="009B620B"/>
    <w:rsid w:val="009B6F4F"/>
    <w:rsid w:val="009B7554"/>
    <w:rsid w:val="009B7C36"/>
    <w:rsid w:val="009C0075"/>
    <w:rsid w:val="009C0F67"/>
    <w:rsid w:val="009C2C90"/>
    <w:rsid w:val="009C37E3"/>
    <w:rsid w:val="009C3AEB"/>
    <w:rsid w:val="009C4424"/>
    <w:rsid w:val="009C5082"/>
    <w:rsid w:val="009C582C"/>
    <w:rsid w:val="009C5977"/>
    <w:rsid w:val="009C59ED"/>
    <w:rsid w:val="009C7E99"/>
    <w:rsid w:val="009D1982"/>
    <w:rsid w:val="009D1C38"/>
    <w:rsid w:val="009D5DE3"/>
    <w:rsid w:val="009D60BF"/>
    <w:rsid w:val="009D63EA"/>
    <w:rsid w:val="009D6777"/>
    <w:rsid w:val="009D6AA2"/>
    <w:rsid w:val="009D710D"/>
    <w:rsid w:val="009E04EB"/>
    <w:rsid w:val="009E193E"/>
    <w:rsid w:val="009E2267"/>
    <w:rsid w:val="009E28FF"/>
    <w:rsid w:val="009E3FB0"/>
    <w:rsid w:val="009E76E6"/>
    <w:rsid w:val="009E7784"/>
    <w:rsid w:val="009F0150"/>
    <w:rsid w:val="009F0560"/>
    <w:rsid w:val="009F0BB8"/>
    <w:rsid w:val="009F1239"/>
    <w:rsid w:val="009F1A35"/>
    <w:rsid w:val="009F3C94"/>
    <w:rsid w:val="009F4912"/>
    <w:rsid w:val="009F60A5"/>
    <w:rsid w:val="009F71DE"/>
    <w:rsid w:val="009F7649"/>
    <w:rsid w:val="00A001DB"/>
    <w:rsid w:val="00A01470"/>
    <w:rsid w:val="00A04CBE"/>
    <w:rsid w:val="00A06306"/>
    <w:rsid w:val="00A067A6"/>
    <w:rsid w:val="00A076C9"/>
    <w:rsid w:val="00A07F81"/>
    <w:rsid w:val="00A1109C"/>
    <w:rsid w:val="00A12760"/>
    <w:rsid w:val="00A129CD"/>
    <w:rsid w:val="00A1416A"/>
    <w:rsid w:val="00A14C1F"/>
    <w:rsid w:val="00A16CF6"/>
    <w:rsid w:val="00A2081F"/>
    <w:rsid w:val="00A21889"/>
    <w:rsid w:val="00A224A3"/>
    <w:rsid w:val="00A238AA"/>
    <w:rsid w:val="00A23A4F"/>
    <w:rsid w:val="00A27947"/>
    <w:rsid w:val="00A27D25"/>
    <w:rsid w:val="00A27F9F"/>
    <w:rsid w:val="00A31B12"/>
    <w:rsid w:val="00A327A8"/>
    <w:rsid w:val="00A3379E"/>
    <w:rsid w:val="00A340CB"/>
    <w:rsid w:val="00A34C47"/>
    <w:rsid w:val="00A36199"/>
    <w:rsid w:val="00A36DBC"/>
    <w:rsid w:val="00A36DEE"/>
    <w:rsid w:val="00A37E85"/>
    <w:rsid w:val="00A40627"/>
    <w:rsid w:val="00A41C65"/>
    <w:rsid w:val="00A42A1D"/>
    <w:rsid w:val="00A437AB"/>
    <w:rsid w:val="00A441F4"/>
    <w:rsid w:val="00A45797"/>
    <w:rsid w:val="00A461DB"/>
    <w:rsid w:val="00A46CDA"/>
    <w:rsid w:val="00A47F41"/>
    <w:rsid w:val="00A53B22"/>
    <w:rsid w:val="00A553C2"/>
    <w:rsid w:val="00A57E5A"/>
    <w:rsid w:val="00A60121"/>
    <w:rsid w:val="00A608A9"/>
    <w:rsid w:val="00A61576"/>
    <w:rsid w:val="00A61DB3"/>
    <w:rsid w:val="00A6214C"/>
    <w:rsid w:val="00A62C9F"/>
    <w:rsid w:val="00A637CD"/>
    <w:rsid w:val="00A638A9"/>
    <w:rsid w:val="00A640ED"/>
    <w:rsid w:val="00A648DD"/>
    <w:rsid w:val="00A65370"/>
    <w:rsid w:val="00A670DF"/>
    <w:rsid w:val="00A7019D"/>
    <w:rsid w:val="00A72EB8"/>
    <w:rsid w:val="00A7363E"/>
    <w:rsid w:val="00A73740"/>
    <w:rsid w:val="00A74DB4"/>
    <w:rsid w:val="00A75227"/>
    <w:rsid w:val="00A7585B"/>
    <w:rsid w:val="00A7590C"/>
    <w:rsid w:val="00A778E9"/>
    <w:rsid w:val="00A812AF"/>
    <w:rsid w:val="00A81F77"/>
    <w:rsid w:val="00A82BA4"/>
    <w:rsid w:val="00A82BDF"/>
    <w:rsid w:val="00A85606"/>
    <w:rsid w:val="00A8649E"/>
    <w:rsid w:val="00A86679"/>
    <w:rsid w:val="00A86D77"/>
    <w:rsid w:val="00A870DC"/>
    <w:rsid w:val="00A8734D"/>
    <w:rsid w:val="00A90A01"/>
    <w:rsid w:val="00A90D37"/>
    <w:rsid w:val="00A91E35"/>
    <w:rsid w:val="00A92F6C"/>
    <w:rsid w:val="00A94B16"/>
    <w:rsid w:val="00A95C46"/>
    <w:rsid w:val="00A95F76"/>
    <w:rsid w:val="00A96278"/>
    <w:rsid w:val="00A96B5D"/>
    <w:rsid w:val="00A9745F"/>
    <w:rsid w:val="00A97869"/>
    <w:rsid w:val="00AA0168"/>
    <w:rsid w:val="00AA019C"/>
    <w:rsid w:val="00AA2A00"/>
    <w:rsid w:val="00AA3DC8"/>
    <w:rsid w:val="00AA41F3"/>
    <w:rsid w:val="00AA51BB"/>
    <w:rsid w:val="00AA57D5"/>
    <w:rsid w:val="00AA593D"/>
    <w:rsid w:val="00AA6A7A"/>
    <w:rsid w:val="00AA6D85"/>
    <w:rsid w:val="00AA6E82"/>
    <w:rsid w:val="00AA7850"/>
    <w:rsid w:val="00AB1968"/>
    <w:rsid w:val="00AB1A41"/>
    <w:rsid w:val="00AB1B93"/>
    <w:rsid w:val="00AB1C17"/>
    <w:rsid w:val="00AB26E3"/>
    <w:rsid w:val="00AB2A04"/>
    <w:rsid w:val="00AB43C1"/>
    <w:rsid w:val="00AB51F2"/>
    <w:rsid w:val="00AB563F"/>
    <w:rsid w:val="00AB606D"/>
    <w:rsid w:val="00AB6DB0"/>
    <w:rsid w:val="00AB77A5"/>
    <w:rsid w:val="00AC00E0"/>
    <w:rsid w:val="00AC0AF9"/>
    <w:rsid w:val="00AC3596"/>
    <w:rsid w:val="00AC436C"/>
    <w:rsid w:val="00AC48B4"/>
    <w:rsid w:val="00AC48D8"/>
    <w:rsid w:val="00AC4A72"/>
    <w:rsid w:val="00AC5BCC"/>
    <w:rsid w:val="00AC6A40"/>
    <w:rsid w:val="00AC778E"/>
    <w:rsid w:val="00AD02F4"/>
    <w:rsid w:val="00AD1837"/>
    <w:rsid w:val="00AD1853"/>
    <w:rsid w:val="00AD4776"/>
    <w:rsid w:val="00AD4BDF"/>
    <w:rsid w:val="00AD5ECA"/>
    <w:rsid w:val="00AD67E2"/>
    <w:rsid w:val="00AD69BE"/>
    <w:rsid w:val="00AD75E0"/>
    <w:rsid w:val="00AD7AD3"/>
    <w:rsid w:val="00AE036E"/>
    <w:rsid w:val="00AE1D4E"/>
    <w:rsid w:val="00AE24D3"/>
    <w:rsid w:val="00AE260A"/>
    <w:rsid w:val="00AE28D7"/>
    <w:rsid w:val="00AE2E67"/>
    <w:rsid w:val="00AE3314"/>
    <w:rsid w:val="00AE3B3B"/>
    <w:rsid w:val="00AE4719"/>
    <w:rsid w:val="00AE48B9"/>
    <w:rsid w:val="00AE5D02"/>
    <w:rsid w:val="00AE6705"/>
    <w:rsid w:val="00AE7155"/>
    <w:rsid w:val="00AF059C"/>
    <w:rsid w:val="00AF0CDD"/>
    <w:rsid w:val="00AF25F7"/>
    <w:rsid w:val="00AF3EBE"/>
    <w:rsid w:val="00AF41D4"/>
    <w:rsid w:val="00AF47CD"/>
    <w:rsid w:val="00AF48F7"/>
    <w:rsid w:val="00AF5192"/>
    <w:rsid w:val="00AF5CAA"/>
    <w:rsid w:val="00AF6619"/>
    <w:rsid w:val="00B01518"/>
    <w:rsid w:val="00B01582"/>
    <w:rsid w:val="00B01A60"/>
    <w:rsid w:val="00B01F55"/>
    <w:rsid w:val="00B02AF6"/>
    <w:rsid w:val="00B049A7"/>
    <w:rsid w:val="00B04CA7"/>
    <w:rsid w:val="00B05409"/>
    <w:rsid w:val="00B05929"/>
    <w:rsid w:val="00B11089"/>
    <w:rsid w:val="00B127EE"/>
    <w:rsid w:val="00B15DCE"/>
    <w:rsid w:val="00B16376"/>
    <w:rsid w:val="00B1728C"/>
    <w:rsid w:val="00B17A4C"/>
    <w:rsid w:val="00B17D2B"/>
    <w:rsid w:val="00B227E6"/>
    <w:rsid w:val="00B22D8B"/>
    <w:rsid w:val="00B23D62"/>
    <w:rsid w:val="00B2424F"/>
    <w:rsid w:val="00B26178"/>
    <w:rsid w:val="00B261D8"/>
    <w:rsid w:val="00B26AAC"/>
    <w:rsid w:val="00B26B09"/>
    <w:rsid w:val="00B27039"/>
    <w:rsid w:val="00B30DF3"/>
    <w:rsid w:val="00B31674"/>
    <w:rsid w:val="00B33891"/>
    <w:rsid w:val="00B33FC5"/>
    <w:rsid w:val="00B362E6"/>
    <w:rsid w:val="00B36781"/>
    <w:rsid w:val="00B3680D"/>
    <w:rsid w:val="00B37BAF"/>
    <w:rsid w:val="00B406C7"/>
    <w:rsid w:val="00B409AC"/>
    <w:rsid w:val="00B40D1B"/>
    <w:rsid w:val="00B424C1"/>
    <w:rsid w:val="00B42AC4"/>
    <w:rsid w:val="00B42B59"/>
    <w:rsid w:val="00B455E0"/>
    <w:rsid w:val="00B45D0D"/>
    <w:rsid w:val="00B47C2A"/>
    <w:rsid w:val="00B50A32"/>
    <w:rsid w:val="00B5188D"/>
    <w:rsid w:val="00B522D1"/>
    <w:rsid w:val="00B5649D"/>
    <w:rsid w:val="00B56A10"/>
    <w:rsid w:val="00B56AE2"/>
    <w:rsid w:val="00B56B80"/>
    <w:rsid w:val="00B575EA"/>
    <w:rsid w:val="00B60DCC"/>
    <w:rsid w:val="00B61033"/>
    <w:rsid w:val="00B616B9"/>
    <w:rsid w:val="00B62DE2"/>
    <w:rsid w:val="00B633D7"/>
    <w:rsid w:val="00B63BAC"/>
    <w:rsid w:val="00B63CCE"/>
    <w:rsid w:val="00B655D3"/>
    <w:rsid w:val="00B65804"/>
    <w:rsid w:val="00B65996"/>
    <w:rsid w:val="00B7097F"/>
    <w:rsid w:val="00B71675"/>
    <w:rsid w:val="00B719E8"/>
    <w:rsid w:val="00B72D45"/>
    <w:rsid w:val="00B72D57"/>
    <w:rsid w:val="00B731EE"/>
    <w:rsid w:val="00B742A9"/>
    <w:rsid w:val="00B7463E"/>
    <w:rsid w:val="00B768CC"/>
    <w:rsid w:val="00B80006"/>
    <w:rsid w:val="00B82BEB"/>
    <w:rsid w:val="00B83CF2"/>
    <w:rsid w:val="00B844DF"/>
    <w:rsid w:val="00B85450"/>
    <w:rsid w:val="00B85DDB"/>
    <w:rsid w:val="00B86B40"/>
    <w:rsid w:val="00B86F18"/>
    <w:rsid w:val="00B9077F"/>
    <w:rsid w:val="00B90967"/>
    <w:rsid w:val="00B91B6F"/>
    <w:rsid w:val="00B921C5"/>
    <w:rsid w:val="00B92C1E"/>
    <w:rsid w:val="00B931C0"/>
    <w:rsid w:val="00B93429"/>
    <w:rsid w:val="00B935CE"/>
    <w:rsid w:val="00B93651"/>
    <w:rsid w:val="00B93D4A"/>
    <w:rsid w:val="00B94C23"/>
    <w:rsid w:val="00B9587F"/>
    <w:rsid w:val="00B971FD"/>
    <w:rsid w:val="00B976DB"/>
    <w:rsid w:val="00B97EE5"/>
    <w:rsid w:val="00BA0097"/>
    <w:rsid w:val="00BA022D"/>
    <w:rsid w:val="00BA2940"/>
    <w:rsid w:val="00BA3192"/>
    <w:rsid w:val="00BA3394"/>
    <w:rsid w:val="00BA355C"/>
    <w:rsid w:val="00BA5BD6"/>
    <w:rsid w:val="00BA78A0"/>
    <w:rsid w:val="00BA7901"/>
    <w:rsid w:val="00BA7A74"/>
    <w:rsid w:val="00BB1217"/>
    <w:rsid w:val="00BB27D5"/>
    <w:rsid w:val="00BB6ED0"/>
    <w:rsid w:val="00BB7589"/>
    <w:rsid w:val="00BB7D6B"/>
    <w:rsid w:val="00BC0571"/>
    <w:rsid w:val="00BC05FA"/>
    <w:rsid w:val="00BC0995"/>
    <w:rsid w:val="00BC0FD1"/>
    <w:rsid w:val="00BC10CD"/>
    <w:rsid w:val="00BC2167"/>
    <w:rsid w:val="00BC36BF"/>
    <w:rsid w:val="00BC4504"/>
    <w:rsid w:val="00BC5E3E"/>
    <w:rsid w:val="00BC6DA1"/>
    <w:rsid w:val="00BC74E4"/>
    <w:rsid w:val="00BD06AE"/>
    <w:rsid w:val="00BD0EFF"/>
    <w:rsid w:val="00BD108A"/>
    <w:rsid w:val="00BD14A8"/>
    <w:rsid w:val="00BD3AA4"/>
    <w:rsid w:val="00BD5B44"/>
    <w:rsid w:val="00BD5C25"/>
    <w:rsid w:val="00BD5E4A"/>
    <w:rsid w:val="00BD675F"/>
    <w:rsid w:val="00BD68DD"/>
    <w:rsid w:val="00BD775F"/>
    <w:rsid w:val="00BE05F5"/>
    <w:rsid w:val="00BE17BD"/>
    <w:rsid w:val="00BE19D1"/>
    <w:rsid w:val="00BE30A6"/>
    <w:rsid w:val="00BE376D"/>
    <w:rsid w:val="00BE4223"/>
    <w:rsid w:val="00BE4955"/>
    <w:rsid w:val="00BE4C05"/>
    <w:rsid w:val="00BE4DB1"/>
    <w:rsid w:val="00BE4E3B"/>
    <w:rsid w:val="00BE510D"/>
    <w:rsid w:val="00BE5453"/>
    <w:rsid w:val="00BE60E9"/>
    <w:rsid w:val="00BE653A"/>
    <w:rsid w:val="00BE737E"/>
    <w:rsid w:val="00BE757F"/>
    <w:rsid w:val="00BF0A44"/>
    <w:rsid w:val="00BF0BD1"/>
    <w:rsid w:val="00BF22A9"/>
    <w:rsid w:val="00BF22EE"/>
    <w:rsid w:val="00BF38D0"/>
    <w:rsid w:val="00BF3C72"/>
    <w:rsid w:val="00BF3D89"/>
    <w:rsid w:val="00BF492A"/>
    <w:rsid w:val="00BF5386"/>
    <w:rsid w:val="00BF5468"/>
    <w:rsid w:val="00BF6AFF"/>
    <w:rsid w:val="00C00B1D"/>
    <w:rsid w:val="00C031BD"/>
    <w:rsid w:val="00C04D36"/>
    <w:rsid w:val="00C04D54"/>
    <w:rsid w:val="00C0610D"/>
    <w:rsid w:val="00C07294"/>
    <w:rsid w:val="00C0783E"/>
    <w:rsid w:val="00C07F03"/>
    <w:rsid w:val="00C10DC6"/>
    <w:rsid w:val="00C12A7C"/>
    <w:rsid w:val="00C13EB4"/>
    <w:rsid w:val="00C14EFD"/>
    <w:rsid w:val="00C15843"/>
    <w:rsid w:val="00C158AD"/>
    <w:rsid w:val="00C15E4D"/>
    <w:rsid w:val="00C16B21"/>
    <w:rsid w:val="00C16B2D"/>
    <w:rsid w:val="00C21439"/>
    <w:rsid w:val="00C219AA"/>
    <w:rsid w:val="00C22B5C"/>
    <w:rsid w:val="00C25558"/>
    <w:rsid w:val="00C25AED"/>
    <w:rsid w:val="00C26C55"/>
    <w:rsid w:val="00C26D51"/>
    <w:rsid w:val="00C274CB"/>
    <w:rsid w:val="00C27623"/>
    <w:rsid w:val="00C3040D"/>
    <w:rsid w:val="00C30F0C"/>
    <w:rsid w:val="00C32A85"/>
    <w:rsid w:val="00C32B3A"/>
    <w:rsid w:val="00C33D07"/>
    <w:rsid w:val="00C33F46"/>
    <w:rsid w:val="00C341B9"/>
    <w:rsid w:val="00C34C53"/>
    <w:rsid w:val="00C34F7F"/>
    <w:rsid w:val="00C3535E"/>
    <w:rsid w:val="00C40789"/>
    <w:rsid w:val="00C41B25"/>
    <w:rsid w:val="00C425FB"/>
    <w:rsid w:val="00C43788"/>
    <w:rsid w:val="00C45D9A"/>
    <w:rsid w:val="00C45E2C"/>
    <w:rsid w:val="00C461AD"/>
    <w:rsid w:val="00C47D04"/>
    <w:rsid w:val="00C47FDC"/>
    <w:rsid w:val="00C50580"/>
    <w:rsid w:val="00C50634"/>
    <w:rsid w:val="00C50B5F"/>
    <w:rsid w:val="00C51DAC"/>
    <w:rsid w:val="00C52A24"/>
    <w:rsid w:val="00C52AC3"/>
    <w:rsid w:val="00C53705"/>
    <w:rsid w:val="00C54B4D"/>
    <w:rsid w:val="00C54DB2"/>
    <w:rsid w:val="00C55085"/>
    <w:rsid w:val="00C559BD"/>
    <w:rsid w:val="00C56A4A"/>
    <w:rsid w:val="00C56AB7"/>
    <w:rsid w:val="00C57068"/>
    <w:rsid w:val="00C603B4"/>
    <w:rsid w:val="00C607C8"/>
    <w:rsid w:val="00C6161D"/>
    <w:rsid w:val="00C61FB1"/>
    <w:rsid w:val="00C639C9"/>
    <w:rsid w:val="00C643A6"/>
    <w:rsid w:val="00C64D00"/>
    <w:rsid w:val="00C654BB"/>
    <w:rsid w:val="00C66591"/>
    <w:rsid w:val="00C667A4"/>
    <w:rsid w:val="00C702D2"/>
    <w:rsid w:val="00C71AD3"/>
    <w:rsid w:val="00C73FD1"/>
    <w:rsid w:val="00C76647"/>
    <w:rsid w:val="00C80166"/>
    <w:rsid w:val="00C80504"/>
    <w:rsid w:val="00C8091E"/>
    <w:rsid w:val="00C80D50"/>
    <w:rsid w:val="00C821BD"/>
    <w:rsid w:val="00C821F7"/>
    <w:rsid w:val="00C8243F"/>
    <w:rsid w:val="00C8250C"/>
    <w:rsid w:val="00C82C74"/>
    <w:rsid w:val="00C835EC"/>
    <w:rsid w:val="00C8384F"/>
    <w:rsid w:val="00C86140"/>
    <w:rsid w:val="00C90774"/>
    <w:rsid w:val="00C919F2"/>
    <w:rsid w:val="00C922FC"/>
    <w:rsid w:val="00C930FE"/>
    <w:rsid w:val="00C93C16"/>
    <w:rsid w:val="00C93F7A"/>
    <w:rsid w:val="00C94535"/>
    <w:rsid w:val="00C9454C"/>
    <w:rsid w:val="00C94BD0"/>
    <w:rsid w:val="00C95CCE"/>
    <w:rsid w:val="00C96545"/>
    <w:rsid w:val="00C96E84"/>
    <w:rsid w:val="00C97C3C"/>
    <w:rsid w:val="00CA01AF"/>
    <w:rsid w:val="00CA04AB"/>
    <w:rsid w:val="00CA34B2"/>
    <w:rsid w:val="00CA4111"/>
    <w:rsid w:val="00CA6922"/>
    <w:rsid w:val="00CA6F3F"/>
    <w:rsid w:val="00CA775B"/>
    <w:rsid w:val="00CA77D3"/>
    <w:rsid w:val="00CA786C"/>
    <w:rsid w:val="00CA7F9F"/>
    <w:rsid w:val="00CB05CF"/>
    <w:rsid w:val="00CB08EE"/>
    <w:rsid w:val="00CB0D9F"/>
    <w:rsid w:val="00CB2C2D"/>
    <w:rsid w:val="00CB53D6"/>
    <w:rsid w:val="00CB624C"/>
    <w:rsid w:val="00CB63BF"/>
    <w:rsid w:val="00CB6F58"/>
    <w:rsid w:val="00CC088B"/>
    <w:rsid w:val="00CC1082"/>
    <w:rsid w:val="00CC12D8"/>
    <w:rsid w:val="00CC2F25"/>
    <w:rsid w:val="00CC3629"/>
    <w:rsid w:val="00CC3C89"/>
    <w:rsid w:val="00CC4854"/>
    <w:rsid w:val="00CC498D"/>
    <w:rsid w:val="00CC535E"/>
    <w:rsid w:val="00CC5B72"/>
    <w:rsid w:val="00CC6238"/>
    <w:rsid w:val="00CC7493"/>
    <w:rsid w:val="00CD0F5D"/>
    <w:rsid w:val="00CD2696"/>
    <w:rsid w:val="00CD304C"/>
    <w:rsid w:val="00CD40C8"/>
    <w:rsid w:val="00CD4B13"/>
    <w:rsid w:val="00CD6603"/>
    <w:rsid w:val="00CD6688"/>
    <w:rsid w:val="00CD7C17"/>
    <w:rsid w:val="00CE0C69"/>
    <w:rsid w:val="00CE154D"/>
    <w:rsid w:val="00CE1F5B"/>
    <w:rsid w:val="00CE27CF"/>
    <w:rsid w:val="00CE2ADD"/>
    <w:rsid w:val="00CE2FF5"/>
    <w:rsid w:val="00CE376F"/>
    <w:rsid w:val="00CE3D47"/>
    <w:rsid w:val="00CE4A95"/>
    <w:rsid w:val="00CE56A3"/>
    <w:rsid w:val="00CE68D4"/>
    <w:rsid w:val="00CE68EC"/>
    <w:rsid w:val="00CE6A4C"/>
    <w:rsid w:val="00CE73FD"/>
    <w:rsid w:val="00CE7560"/>
    <w:rsid w:val="00CF058E"/>
    <w:rsid w:val="00CF06DB"/>
    <w:rsid w:val="00CF087F"/>
    <w:rsid w:val="00CF08DF"/>
    <w:rsid w:val="00CF1AE1"/>
    <w:rsid w:val="00CF36FE"/>
    <w:rsid w:val="00CF5C16"/>
    <w:rsid w:val="00CF7C23"/>
    <w:rsid w:val="00D00770"/>
    <w:rsid w:val="00D0185F"/>
    <w:rsid w:val="00D019A4"/>
    <w:rsid w:val="00D01BC4"/>
    <w:rsid w:val="00D01FA9"/>
    <w:rsid w:val="00D02A89"/>
    <w:rsid w:val="00D03EEB"/>
    <w:rsid w:val="00D04FA8"/>
    <w:rsid w:val="00D06168"/>
    <w:rsid w:val="00D06441"/>
    <w:rsid w:val="00D06A6E"/>
    <w:rsid w:val="00D07DB6"/>
    <w:rsid w:val="00D07EC6"/>
    <w:rsid w:val="00D10718"/>
    <w:rsid w:val="00D114CF"/>
    <w:rsid w:val="00D11CF5"/>
    <w:rsid w:val="00D135FB"/>
    <w:rsid w:val="00D1384C"/>
    <w:rsid w:val="00D1472A"/>
    <w:rsid w:val="00D150D0"/>
    <w:rsid w:val="00D168F5"/>
    <w:rsid w:val="00D16E2B"/>
    <w:rsid w:val="00D17123"/>
    <w:rsid w:val="00D173E2"/>
    <w:rsid w:val="00D17FCE"/>
    <w:rsid w:val="00D214E0"/>
    <w:rsid w:val="00D2264A"/>
    <w:rsid w:val="00D22AAE"/>
    <w:rsid w:val="00D22ABC"/>
    <w:rsid w:val="00D22E80"/>
    <w:rsid w:val="00D2632C"/>
    <w:rsid w:val="00D26C51"/>
    <w:rsid w:val="00D27658"/>
    <w:rsid w:val="00D31267"/>
    <w:rsid w:val="00D319CB"/>
    <w:rsid w:val="00D33E3E"/>
    <w:rsid w:val="00D342E0"/>
    <w:rsid w:val="00D3452F"/>
    <w:rsid w:val="00D34A92"/>
    <w:rsid w:val="00D35413"/>
    <w:rsid w:val="00D36348"/>
    <w:rsid w:val="00D36942"/>
    <w:rsid w:val="00D403FA"/>
    <w:rsid w:val="00D40CC7"/>
    <w:rsid w:val="00D41B2D"/>
    <w:rsid w:val="00D43591"/>
    <w:rsid w:val="00D44C64"/>
    <w:rsid w:val="00D46299"/>
    <w:rsid w:val="00D463D5"/>
    <w:rsid w:val="00D46EF5"/>
    <w:rsid w:val="00D510C3"/>
    <w:rsid w:val="00D5131A"/>
    <w:rsid w:val="00D51EDA"/>
    <w:rsid w:val="00D53260"/>
    <w:rsid w:val="00D55261"/>
    <w:rsid w:val="00D56328"/>
    <w:rsid w:val="00D57378"/>
    <w:rsid w:val="00D60855"/>
    <w:rsid w:val="00D6098B"/>
    <w:rsid w:val="00D613C5"/>
    <w:rsid w:val="00D61500"/>
    <w:rsid w:val="00D615C6"/>
    <w:rsid w:val="00D6287E"/>
    <w:rsid w:val="00D63D93"/>
    <w:rsid w:val="00D6420C"/>
    <w:rsid w:val="00D65933"/>
    <w:rsid w:val="00D66299"/>
    <w:rsid w:val="00D6644B"/>
    <w:rsid w:val="00D665C4"/>
    <w:rsid w:val="00D66835"/>
    <w:rsid w:val="00D66A38"/>
    <w:rsid w:val="00D7106E"/>
    <w:rsid w:val="00D72940"/>
    <w:rsid w:val="00D73A11"/>
    <w:rsid w:val="00D74BAE"/>
    <w:rsid w:val="00D7503F"/>
    <w:rsid w:val="00D768C9"/>
    <w:rsid w:val="00D823F2"/>
    <w:rsid w:val="00D82C0D"/>
    <w:rsid w:val="00D84E11"/>
    <w:rsid w:val="00D852A1"/>
    <w:rsid w:val="00D85400"/>
    <w:rsid w:val="00D85F2A"/>
    <w:rsid w:val="00D8607C"/>
    <w:rsid w:val="00D8629F"/>
    <w:rsid w:val="00D867A2"/>
    <w:rsid w:val="00D86887"/>
    <w:rsid w:val="00D86BEF"/>
    <w:rsid w:val="00D86C77"/>
    <w:rsid w:val="00D900F3"/>
    <w:rsid w:val="00D909AC"/>
    <w:rsid w:val="00D92447"/>
    <w:rsid w:val="00D92464"/>
    <w:rsid w:val="00D952A1"/>
    <w:rsid w:val="00D97F8A"/>
    <w:rsid w:val="00DA12BB"/>
    <w:rsid w:val="00DA1646"/>
    <w:rsid w:val="00DA2018"/>
    <w:rsid w:val="00DA3564"/>
    <w:rsid w:val="00DA3651"/>
    <w:rsid w:val="00DA415E"/>
    <w:rsid w:val="00DA449D"/>
    <w:rsid w:val="00DA6E02"/>
    <w:rsid w:val="00DB08C6"/>
    <w:rsid w:val="00DB18DB"/>
    <w:rsid w:val="00DB2AE6"/>
    <w:rsid w:val="00DB2E94"/>
    <w:rsid w:val="00DB332C"/>
    <w:rsid w:val="00DB34D6"/>
    <w:rsid w:val="00DB3E1D"/>
    <w:rsid w:val="00DB5080"/>
    <w:rsid w:val="00DC0E3D"/>
    <w:rsid w:val="00DC320B"/>
    <w:rsid w:val="00DC36BB"/>
    <w:rsid w:val="00DC46CF"/>
    <w:rsid w:val="00DC52C6"/>
    <w:rsid w:val="00DC61FE"/>
    <w:rsid w:val="00DC6B3E"/>
    <w:rsid w:val="00DC7463"/>
    <w:rsid w:val="00DD317F"/>
    <w:rsid w:val="00DD42FF"/>
    <w:rsid w:val="00DD533B"/>
    <w:rsid w:val="00DD59D4"/>
    <w:rsid w:val="00DD5D98"/>
    <w:rsid w:val="00DD6B48"/>
    <w:rsid w:val="00DD7EBF"/>
    <w:rsid w:val="00DE1DA4"/>
    <w:rsid w:val="00DE393E"/>
    <w:rsid w:val="00DE4925"/>
    <w:rsid w:val="00DE5475"/>
    <w:rsid w:val="00DE55F5"/>
    <w:rsid w:val="00DE56C8"/>
    <w:rsid w:val="00DE5826"/>
    <w:rsid w:val="00DE6419"/>
    <w:rsid w:val="00DE6CC5"/>
    <w:rsid w:val="00DE767D"/>
    <w:rsid w:val="00DF0619"/>
    <w:rsid w:val="00DF0C5A"/>
    <w:rsid w:val="00DF1366"/>
    <w:rsid w:val="00DF22AC"/>
    <w:rsid w:val="00DF2502"/>
    <w:rsid w:val="00DF3A06"/>
    <w:rsid w:val="00DF41E4"/>
    <w:rsid w:val="00DF467C"/>
    <w:rsid w:val="00DF62FA"/>
    <w:rsid w:val="00DF75DB"/>
    <w:rsid w:val="00E00954"/>
    <w:rsid w:val="00E04480"/>
    <w:rsid w:val="00E04EC4"/>
    <w:rsid w:val="00E054E8"/>
    <w:rsid w:val="00E07641"/>
    <w:rsid w:val="00E108E9"/>
    <w:rsid w:val="00E10B6B"/>
    <w:rsid w:val="00E11842"/>
    <w:rsid w:val="00E1230D"/>
    <w:rsid w:val="00E1274C"/>
    <w:rsid w:val="00E127B1"/>
    <w:rsid w:val="00E127F0"/>
    <w:rsid w:val="00E133E1"/>
    <w:rsid w:val="00E13AF5"/>
    <w:rsid w:val="00E143EC"/>
    <w:rsid w:val="00E14551"/>
    <w:rsid w:val="00E14823"/>
    <w:rsid w:val="00E16A44"/>
    <w:rsid w:val="00E16F1D"/>
    <w:rsid w:val="00E17C8F"/>
    <w:rsid w:val="00E17DA1"/>
    <w:rsid w:val="00E20FF0"/>
    <w:rsid w:val="00E21AD2"/>
    <w:rsid w:val="00E2220A"/>
    <w:rsid w:val="00E23D48"/>
    <w:rsid w:val="00E24F06"/>
    <w:rsid w:val="00E2531F"/>
    <w:rsid w:val="00E2535B"/>
    <w:rsid w:val="00E25AC2"/>
    <w:rsid w:val="00E26CAA"/>
    <w:rsid w:val="00E272D9"/>
    <w:rsid w:val="00E273A9"/>
    <w:rsid w:val="00E27C06"/>
    <w:rsid w:val="00E32FED"/>
    <w:rsid w:val="00E343FB"/>
    <w:rsid w:val="00E35C0A"/>
    <w:rsid w:val="00E37465"/>
    <w:rsid w:val="00E3789B"/>
    <w:rsid w:val="00E40435"/>
    <w:rsid w:val="00E41E55"/>
    <w:rsid w:val="00E42BF9"/>
    <w:rsid w:val="00E441A1"/>
    <w:rsid w:val="00E45FEF"/>
    <w:rsid w:val="00E46688"/>
    <w:rsid w:val="00E46F0F"/>
    <w:rsid w:val="00E46F16"/>
    <w:rsid w:val="00E47316"/>
    <w:rsid w:val="00E47EC8"/>
    <w:rsid w:val="00E52180"/>
    <w:rsid w:val="00E52DC9"/>
    <w:rsid w:val="00E55A95"/>
    <w:rsid w:val="00E57265"/>
    <w:rsid w:val="00E573AE"/>
    <w:rsid w:val="00E57E2B"/>
    <w:rsid w:val="00E6074F"/>
    <w:rsid w:val="00E611AF"/>
    <w:rsid w:val="00E613EC"/>
    <w:rsid w:val="00E614CA"/>
    <w:rsid w:val="00E61B60"/>
    <w:rsid w:val="00E61D0B"/>
    <w:rsid w:val="00E6237F"/>
    <w:rsid w:val="00E62983"/>
    <w:rsid w:val="00E62E55"/>
    <w:rsid w:val="00E631AF"/>
    <w:rsid w:val="00E647C1"/>
    <w:rsid w:val="00E64DD2"/>
    <w:rsid w:val="00E70394"/>
    <w:rsid w:val="00E70ABA"/>
    <w:rsid w:val="00E70BC8"/>
    <w:rsid w:val="00E72B70"/>
    <w:rsid w:val="00E7708B"/>
    <w:rsid w:val="00E7732A"/>
    <w:rsid w:val="00E80788"/>
    <w:rsid w:val="00E81940"/>
    <w:rsid w:val="00E8198B"/>
    <w:rsid w:val="00E83FF8"/>
    <w:rsid w:val="00E84865"/>
    <w:rsid w:val="00E84E39"/>
    <w:rsid w:val="00E86311"/>
    <w:rsid w:val="00E86E18"/>
    <w:rsid w:val="00E87B43"/>
    <w:rsid w:val="00E87B90"/>
    <w:rsid w:val="00E908BC"/>
    <w:rsid w:val="00E9146B"/>
    <w:rsid w:val="00E925F5"/>
    <w:rsid w:val="00E9347E"/>
    <w:rsid w:val="00E94076"/>
    <w:rsid w:val="00E94558"/>
    <w:rsid w:val="00E9503F"/>
    <w:rsid w:val="00E9541A"/>
    <w:rsid w:val="00E95E50"/>
    <w:rsid w:val="00E96255"/>
    <w:rsid w:val="00E97078"/>
    <w:rsid w:val="00EA0A8F"/>
    <w:rsid w:val="00EA2400"/>
    <w:rsid w:val="00EA2B5E"/>
    <w:rsid w:val="00EA34E9"/>
    <w:rsid w:val="00EA6F89"/>
    <w:rsid w:val="00EA7833"/>
    <w:rsid w:val="00EB21EC"/>
    <w:rsid w:val="00EB26F9"/>
    <w:rsid w:val="00EB27BD"/>
    <w:rsid w:val="00EB4CC0"/>
    <w:rsid w:val="00EB6FB0"/>
    <w:rsid w:val="00EB77B8"/>
    <w:rsid w:val="00EB798E"/>
    <w:rsid w:val="00EC0AD4"/>
    <w:rsid w:val="00EC1C8E"/>
    <w:rsid w:val="00EC3AB5"/>
    <w:rsid w:val="00EC4A32"/>
    <w:rsid w:val="00EC6799"/>
    <w:rsid w:val="00EC7401"/>
    <w:rsid w:val="00EC7549"/>
    <w:rsid w:val="00EC7BF5"/>
    <w:rsid w:val="00ED0CA5"/>
    <w:rsid w:val="00ED18B2"/>
    <w:rsid w:val="00ED1B68"/>
    <w:rsid w:val="00ED277A"/>
    <w:rsid w:val="00ED3994"/>
    <w:rsid w:val="00ED3C6E"/>
    <w:rsid w:val="00ED506B"/>
    <w:rsid w:val="00ED5838"/>
    <w:rsid w:val="00EE0583"/>
    <w:rsid w:val="00EE419F"/>
    <w:rsid w:val="00EE5636"/>
    <w:rsid w:val="00EE5BAA"/>
    <w:rsid w:val="00EE678F"/>
    <w:rsid w:val="00EE6D36"/>
    <w:rsid w:val="00EF1538"/>
    <w:rsid w:val="00EF198A"/>
    <w:rsid w:val="00EF20DD"/>
    <w:rsid w:val="00EF2C4B"/>
    <w:rsid w:val="00EF2F2C"/>
    <w:rsid w:val="00EF45D8"/>
    <w:rsid w:val="00EF5B4C"/>
    <w:rsid w:val="00EF679E"/>
    <w:rsid w:val="00EF6B68"/>
    <w:rsid w:val="00EF6C46"/>
    <w:rsid w:val="00EF7C7B"/>
    <w:rsid w:val="00F00453"/>
    <w:rsid w:val="00F00C5C"/>
    <w:rsid w:val="00F010C4"/>
    <w:rsid w:val="00F01637"/>
    <w:rsid w:val="00F02C2A"/>
    <w:rsid w:val="00F030A7"/>
    <w:rsid w:val="00F04332"/>
    <w:rsid w:val="00F048A0"/>
    <w:rsid w:val="00F04EB2"/>
    <w:rsid w:val="00F0592C"/>
    <w:rsid w:val="00F06F1C"/>
    <w:rsid w:val="00F071B3"/>
    <w:rsid w:val="00F07C5B"/>
    <w:rsid w:val="00F10ED0"/>
    <w:rsid w:val="00F12469"/>
    <w:rsid w:val="00F1259D"/>
    <w:rsid w:val="00F13387"/>
    <w:rsid w:val="00F13C60"/>
    <w:rsid w:val="00F149DF"/>
    <w:rsid w:val="00F14D2C"/>
    <w:rsid w:val="00F1607D"/>
    <w:rsid w:val="00F16E6A"/>
    <w:rsid w:val="00F20C1B"/>
    <w:rsid w:val="00F21BAB"/>
    <w:rsid w:val="00F21BD0"/>
    <w:rsid w:val="00F21D18"/>
    <w:rsid w:val="00F24CB0"/>
    <w:rsid w:val="00F262EC"/>
    <w:rsid w:val="00F2637B"/>
    <w:rsid w:val="00F27A79"/>
    <w:rsid w:val="00F30C20"/>
    <w:rsid w:val="00F342C3"/>
    <w:rsid w:val="00F36284"/>
    <w:rsid w:val="00F36300"/>
    <w:rsid w:val="00F36A65"/>
    <w:rsid w:val="00F37753"/>
    <w:rsid w:val="00F37F66"/>
    <w:rsid w:val="00F37FCA"/>
    <w:rsid w:val="00F402C2"/>
    <w:rsid w:val="00F40E02"/>
    <w:rsid w:val="00F41392"/>
    <w:rsid w:val="00F41777"/>
    <w:rsid w:val="00F41F0C"/>
    <w:rsid w:val="00F4224A"/>
    <w:rsid w:val="00F43D07"/>
    <w:rsid w:val="00F45E98"/>
    <w:rsid w:val="00F47478"/>
    <w:rsid w:val="00F5017F"/>
    <w:rsid w:val="00F50251"/>
    <w:rsid w:val="00F51798"/>
    <w:rsid w:val="00F51A24"/>
    <w:rsid w:val="00F51DFF"/>
    <w:rsid w:val="00F52466"/>
    <w:rsid w:val="00F52867"/>
    <w:rsid w:val="00F52BF7"/>
    <w:rsid w:val="00F53A43"/>
    <w:rsid w:val="00F53A5A"/>
    <w:rsid w:val="00F54172"/>
    <w:rsid w:val="00F558E3"/>
    <w:rsid w:val="00F566F2"/>
    <w:rsid w:val="00F57B40"/>
    <w:rsid w:val="00F57F8A"/>
    <w:rsid w:val="00F603DC"/>
    <w:rsid w:val="00F60A7D"/>
    <w:rsid w:val="00F61748"/>
    <w:rsid w:val="00F62013"/>
    <w:rsid w:val="00F6239D"/>
    <w:rsid w:val="00F62428"/>
    <w:rsid w:val="00F62EE6"/>
    <w:rsid w:val="00F67C4E"/>
    <w:rsid w:val="00F7086F"/>
    <w:rsid w:val="00F70977"/>
    <w:rsid w:val="00F72A22"/>
    <w:rsid w:val="00F73566"/>
    <w:rsid w:val="00F73CB0"/>
    <w:rsid w:val="00F74773"/>
    <w:rsid w:val="00F74A55"/>
    <w:rsid w:val="00F74A84"/>
    <w:rsid w:val="00F7611F"/>
    <w:rsid w:val="00F7621B"/>
    <w:rsid w:val="00F76E4F"/>
    <w:rsid w:val="00F805DA"/>
    <w:rsid w:val="00F84666"/>
    <w:rsid w:val="00F85FB9"/>
    <w:rsid w:val="00F86BCE"/>
    <w:rsid w:val="00F86F89"/>
    <w:rsid w:val="00F87A12"/>
    <w:rsid w:val="00F87B8D"/>
    <w:rsid w:val="00F90263"/>
    <w:rsid w:val="00F90654"/>
    <w:rsid w:val="00F916FD"/>
    <w:rsid w:val="00F92D93"/>
    <w:rsid w:val="00F93DCB"/>
    <w:rsid w:val="00F95159"/>
    <w:rsid w:val="00F96355"/>
    <w:rsid w:val="00F97F3D"/>
    <w:rsid w:val="00FA1AB6"/>
    <w:rsid w:val="00FA1BA9"/>
    <w:rsid w:val="00FA2F20"/>
    <w:rsid w:val="00FA376B"/>
    <w:rsid w:val="00FA3C56"/>
    <w:rsid w:val="00FA3DA4"/>
    <w:rsid w:val="00FA43E2"/>
    <w:rsid w:val="00FA4BD6"/>
    <w:rsid w:val="00FA4CAB"/>
    <w:rsid w:val="00FA5544"/>
    <w:rsid w:val="00FB0DAC"/>
    <w:rsid w:val="00FB2CAC"/>
    <w:rsid w:val="00FB40E6"/>
    <w:rsid w:val="00FB4AB4"/>
    <w:rsid w:val="00FB5AD6"/>
    <w:rsid w:val="00FC0234"/>
    <w:rsid w:val="00FC0D8F"/>
    <w:rsid w:val="00FC11EA"/>
    <w:rsid w:val="00FC12CF"/>
    <w:rsid w:val="00FC2A09"/>
    <w:rsid w:val="00FC2FA5"/>
    <w:rsid w:val="00FC3FD3"/>
    <w:rsid w:val="00FC43EF"/>
    <w:rsid w:val="00FC5D5C"/>
    <w:rsid w:val="00FC6514"/>
    <w:rsid w:val="00FC696C"/>
    <w:rsid w:val="00FC7766"/>
    <w:rsid w:val="00FD022F"/>
    <w:rsid w:val="00FD13FC"/>
    <w:rsid w:val="00FD1891"/>
    <w:rsid w:val="00FD415F"/>
    <w:rsid w:val="00FD5855"/>
    <w:rsid w:val="00FD676B"/>
    <w:rsid w:val="00FD787D"/>
    <w:rsid w:val="00FD7F22"/>
    <w:rsid w:val="00FE02F0"/>
    <w:rsid w:val="00FE06C8"/>
    <w:rsid w:val="00FE0C0A"/>
    <w:rsid w:val="00FE24D7"/>
    <w:rsid w:val="00FE34CC"/>
    <w:rsid w:val="00FE365E"/>
    <w:rsid w:val="00FE3E5C"/>
    <w:rsid w:val="00FE3FDB"/>
    <w:rsid w:val="00FE448E"/>
    <w:rsid w:val="00FE6899"/>
    <w:rsid w:val="00FF0856"/>
    <w:rsid w:val="00FF0A6F"/>
    <w:rsid w:val="00FF17AA"/>
    <w:rsid w:val="00FF21A0"/>
    <w:rsid w:val="00FF2EA1"/>
    <w:rsid w:val="00FF395C"/>
    <w:rsid w:val="00FF52E2"/>
    <w:rsid w:val="00FF60E2"/>
    <w:rsid w:val="00FF7388"/>
    <w:rsid w:val="00FF7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53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14728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D0E12"/>
    <w:rPr>
      <w:sz w:val="20"/>
      <w:szCs w:val="20"/>
    </w:rPr>
  </w:style>
  <w:style w:type="character" w:customStyle="1" w:styleId="FootnoteTextChar">
    <w:name w:val="Footnote Text Char"/>
    <w:basedOn w:val="DefaultParagraphFont"/>
    <w:link w:val="FootnoteText"/>
    <w:uiPriority w:val="99"/>
    <w:semiHidden/>
    <w:rsid w:val="007D0E12"/>
    <w:rPr>
      <w:sz w:val="20"/>
      <w:szCs w:val="20"/>
    </w:rPr>
  </w:style>
  <w:style w:type="character" w:styleId="FootnoteReference">
    <w:name w:val="footnote reference"/>
    <w:basedOn w:val="DefaultParagraphFont"/>
    <w:uiPriority w:val="99"/>
    <w:semiHidden/>
    <w:unhideWhenUsed/>
    <w:rsid w:val="007D0E12"/>
    <w:rPr>
      <w:vertAlign w:val="superscript"/>
    </w:rPr>
  </w:style>
  <w:style w:type="paragraph" w:styleId="BalloonText">
    <w:name w:val="Balloon Text"/>
    <w:basedOn w:val="Normal"/>
    <w:link w:val="BalloonTextChar"/>
    <w:uiPriority w:val="99"/>
    <w:semiHidden/>
    <w:unhideWhenUsed/>
    <w:rsid w:val="00203285"/>
    <w:rPr>
      <w:rFonts w:ascii="Tahoma" w:hAnsi="Tahoma" w:cs="Tahoma"/>
      <w:sz w:val="16"/>
      <w:szCs w:val="16"/>
    </w:rPr>
  </w:style>
  <w:style w:type="character" w:customStyle="1" w:styleId="BalloonTextChar">
    <w:name w:val="Balloon Text Char"/>
    <w:basedOn w:val="DefaultParagraphFont"/>
    <w:link w:val="BalloonText"/>
    <w:uiPriority w:val="99"/>
    <w:semiHidden/>
    <w:rsid w:val="00203285"/>
    <w:rPr>
      <w:rFonts w:ascii="Tahoma" w:hAnsi="Tahoma" w:cs="Tahoma"/>
      <w:sz w:val="16"/>
      <w:szCs w:val="16"/>
    </w:rPr>
  </w:style>
  <w:style w:type="character" w:styleId="CommentReference">
    <w:name w:val="annotation reference"/>
    <w:basedOn w:val="DefaultParagraphFont"/>
    <w:uiPriority w:val="99"/>
    <w:semiHidden/>
    <w:unhideWhenUsed/>
    <w:rsid w:val="00CA6922"/>
    <w:rPr>
      <w:sz w:val="16"/>
      <w:szCs w:val="16"/>
    </w:rPr>
  </w:style>
  <w:style w:type="paragraph" w:styleId="CommentText">
    <w:name w:val="annotation text"/>
    <w:basedOn w:val="Normal"/>
    <w:link w:val="CommentTextChar"/>
    <w:uiPriority w:val="99"/>
    <w:semiHidden/>
    <w:unhideWhenUsed/>
    <w:rsid w:val="00CA6922"/>
    <w:rPr>
      <w:sz w:val="20"/>
      <w:szCs w:val="20"/>
    </w:rPr>
  </w:style>
  <w:style w:type="character" w:customStyle="1" w:styleId="CommentTextChar">
    <w:name w:val="Comment Text Char"/>
    <w:basedOn w:val="DefaultParagraphFont"/>
    <w:link w:val="CommentText"/>
    <w:uiPriority w:val="99"/>
    <w:semiHidden/>
    <w:rsid w:val="00CA6922"/>
    <w:rPr>
      <w:sz w:val="20"/>
      <w:szCs w:val="20"/>
    </w:rPr>
  </w:style>
  <w:style w:type="paragraph" w:styleId="CommentSubject">
    <w:name w:val="annotation subject"/>
    <w:basedOn w:val="CommentText"/>
    <w:next w:val="CommentText"/>
    <w:link w:val="CommentSubjectChar"/>
    <w:uiPriority w:val="99"/>
    <w:semiHidden/>
    <w:unhideWhenUsed/>
    <w:rsid w:val="00CA6922"/>
    <w:rPr>
      <w:b/>
      <w:bCs/>
    </w:rPr>
  </w:style>
  <w:style w:type="character" w:customStyle="1" w:styleId="CommentSubjectChar">
    <w:name w:val="Comment Subject Char"/>
    <w:basedOn w:val="CommentTextChar"/>
    <w:link w:val="CommentSubject"/>
    <w:uiPriority w:val="99"/>
    <w:semiHidden/>
    <w:rsid w:val="00CA6922"/>
    <w:rPr>
      <w:b/>
      <w:bCs/>
      <w:sz w:val="20"/>
      <w:szCs w:val="20"/>
    </w:rPr>
  </w:style>
  <w:style w:type="character" w:styleId="Hyperlink">
    <w:name w:val="Hyperlink"/>
    <w:basedOn w:val="DefaultParagraphFont"/>
    <w:uiPriority w:val="99"/>
    <w:unhideWhenUsed/>
    <w:rsid w:val="00DC0E3D"/>
    <w:rPr>
      <w:color w:val="0000FF" w:themeColor="hyperlink"/>
      <w:u w:val="single"/>
    </w:rPr>
  </w:style>
  <w:style w:type="paragraph" w:styleId="Header">
    <w:name w:val="header"/>
    <w:basedOn w:val="Normal"/>
    <w:link w:val="HeaderChar"/>
    <w:uiPriority w:val="99"/>
    <w:unhideWhenUsed/>
    <w:rsid w:val="009B7C36"/>
    <w:pPr>
      <w:tabs>
        <w:tab w:val="center" w:pos="4680"/>
        <w:tab w:val="right" w:pos="9360"/>
      </w:tabs>
    </w:pPr>
  </w:style>
  <w:style w:type="character" w:customStyle="1" w:styleId="HeaderChar">
    <w:name w:val="Header Char"/>
    <w:basedOn w:val="DefaultParagraphFont"/>
    <w:link w:val="Header"/>
    <w:uiPriority w:val="99"/>
    <w:rsid w:val="009B7C36"/>
  </w:style>
  <w:style w:type="paragraph" w:styleId="Footer">
    <w:name w:val="footer"/>
    <w:basedOn w:val="Normal"/>
    <w:link w:val="FooterChar"/>
    <w:uiPriority w:val="99"/>
    <w:unhideWhenUsed/>
    <w:rsid w:val="009B7C36"/>
    <w:pPr>
      <w:tabs>
        <w:tab w:val="center" w:pos="4680"/>
        <w:tab w:val="right" w:pos="9360"/>
      </w:tabs>
    </w:pPr>
  </w:style>
  <w:style w:type="character" w:customStyle="1" w:styleId="FooterChar">
    <w:name w:val="Footer Char"/>
    <w:basedOn w:val="DefaultParagraphFont"/>
    <w:link w:val="Footer"/>
    <w:uiPriority w:val="99"/>
    <w:rsid w:val="009B7C36"/>
  </w:style>
  <w:style w:type="paragraph" w:styleId="Revision">
    <w:name w:val="Revision"/>
    <w:hidden/>
    <w:uiPriority w:val="99"/>
    <w:semiHidden/>
    <w:rsid w:val="00DE393E"/>
    <w:pPr>
      <w:spacing w:after="0" w:line="240" w:lineRule="auto"/>
    </w:pPr>
  </w:style>
  <w:style w:type="paragraph" w:customStyle="1" w:styleId="Default">
    <w:name w:val="Default"/>
    <w:rsid w:val="004C386B"/>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2Char">
    <w:name w:val="Heading 2 Char"/>
    <w:basedOn w:val="DefaultParagraphFont"/>
    <w:link w:val="Heading2"/>
    <w:uiPriority w:val="9"/>
    <w:semiHidden/>
    <w:rsid w:val="0014728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53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14728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D0E12"/>
    <w:rPr>
      <w:sz w:val="20"/>
      <w:szCs w:val="20"/>
    </w:rPr>
  </w:style>
  <w:style w:type="character" w:customStyle="1" w:styleId="FootnoteTextChar">
    <w:name w:val="Footnote Text Char"/>
    <w:basedOn w:val="DefaultParagraphFont"/>
    <w:link w:val="FootnoteText"/>
    <w:uiPriority w:val="99"/>
    <w:semiHidden/>
    <w:rsid w:val="007D0E12"/>
    <w:rPr>
      <w:sz w:val="20"/>
      <w:szCs w:val="20"/>
    </w:rPr>
  </w:style>
  <w:style w:type="character" w:styleId="FootnoteReference">
    <w:name w:val="footnote reference"/>
    <w:basedOn w:val="DefaultParagraphFont"/>
    <w:uiPriority w:val="99"/>
    <w:semiHidden/>
    <w:unhideWhenUsed/>
    <w:rsid w:val="007D0E12"/>
    <w:rPr>
      <w:vertAlign w:val="superscript"/>
    </w:rPr>
  </w:style>
  <w:style w:type="paragraph" w:styleId="BalloonText">
    <w:name w:val="Balloon Text"/>
    <w:basedOn w:val="Normal"/>
    <w:link w:val="BalloonTextChar"/>
    <w:uiPriority w:val="99"/>
    <w:semiHidden/>
    <w:unhideWhenUsed/>
    <w:rsid w:val="00203285"/>
    <w:rPr>
      <w:rFonts w:ascii="Tahoma" w:hAnsi="Tahoma" w:cs="Tahoma"/>
      <w:sz w:val="16"/>
      <w:szCs w:val="16"/>
    </w:rPr>
  </w:style>
  <w:style w:type="character" w:customStyle="1" w:styleId="BalloonTextChar">
    <w:name w:val="Balloon Text Char"/>
    <w:basedOn w:val="DefaultParagraphFont"/>
    <w:link w:val="BalloonText"/>
    <w:uiPriority w:val="99"/>
    <w:semiHidden/>
    <w:rsid w:val="00203285"/>
    <w:rPr>
      <w:rFonts w:ascii="Tahoma" w:hAnsi="Tahoma" w:cs="Tahoma"/>
      <w:sz w:val="16"/>
      <w:szCs w:val="16"/>
    </w:rPr>
  </w:style>
  <w:style w:type="character" w:styleId="CommentReference">
    <w:name w:val="annotation reference"/>
    <w:basedOn w:val="DefaultParagraphFont"/>
    <w:uiPriority w:val="99"/>
    <w:semiHidden/>
    <w:unhideWhenUsed/>
    <w:rsid w:val="00CA6922"/>
    <w:rPr>
      <w:sz w:val="16"/>
      <w:szCs w:val="16"/>
    </w:rPr>
  </w:style>
  <w:style w:type="paragraph" w:styleId="CommentText">
    <w:name w:val="annotation text"/>
    <w:basedOn w:val="Normal"/>
    <w:link w:val="CommentTextChar"/>
    <w:uiPriority w:val="99"/>
    <w:semiHidden/>
    <w:unhideWhenUsed/>
    <w:rsid w:val="00CA6922"/>
    <w:rPr>
      <w:sz w:val="20"/>
      <w:szCs w:val="20"/>
    </w:rPr>
  </w:style>
  <w:style w:type="character" w:customStyle="1" w:styleId="CommentTextChar">
    <w:name w:val="Comment Text Char"/>
    <w:basedOn w:val="DefaultParagraphFont"/>
    <w:link w:val="CommentText"/>
    <w:uiPriority w:val="99"/>
    <w:semiHidden/>
    <w:rsid w:val="00CA6922"/>
    <w:rPr>
      <w:sz w:val="20"/>
      <w:szCs w:val="20"/>
    </w:rPr>
  </w:style>
  <w:style w:type="paragraph" w:styleId="CommentSubject">
    <w:name w:val="annotation subject"/>
    <w:basedOn w:val="CommentText"/>
    <w:next w:val="CommentText"/>
    <w:link w:val="CommentSubjectChar"/>
    <w:uiPriority w:val="99"/>
    <w:semiHidden/>
    <w:unhideWhenUsed/>
    <w:rsid w:val="00CA6922"/>
    <w:rPr>
      <w:b/>
      <w:bCs/>
    </w:rPr>
  </w:style>
  <w:style w:type="character" w:customStyle="1" w:styleId="CommentSubjectChar">
    <w:name w:val="Comment Subject Char"/>
    <w:basedOn w:val="CommentTextChar"/>
    <w:link w:val="CommentSubject"/>
    <w:uiPriority w:val="99"/>
    <w:semiHidden/>
    <w:rsid w:val="00CA6922"/>
    <w:rPr>
      <w:b/>
      <w:bCs/>
      <w:sz w:val="20"/>
      <w:szCs w:val="20"/>
    </w:rPr>
  </w:style>
  <w:style w:type="character" w:styleId="Hyperlink">
    <w:name w:val="Hyperlink"/>
    <w:basedOn w:val="DefaultParagraphFont"/>
    <w:uiPriority w:val="99"/>
    <w:unhideWhenUsed/>
    <w:rsid w:val="00DC0E3D"/>
    <w:rPr>
      <w:color w:val="0000FF" w:themeColor="hyperlink"/>
      <w:u w:val="single"/>
    </w:rPr>
  </w:style>
  <w:style w:type="paragraph" w:styleId="Header">
    <w:name w:val="header"/>
    <w:basedOn w:val="Normal"/>
    <w:link w:val="HeaderChar"/>
    <w:uiPriority w:val="99"/>
    <w:unhideWhenUsed/>
    <w:rsid w:val="009B7C36"/>
    <w:pPr>
      <w:tabs>
        <w:tab w:val="center" w:pos="4680"/>
        <w:tab w:val="right" w:pos="9360"/>
      </w:tabs>
    </w:pPr>
  </w:style>
  <w:style w:type="character" w:customStyle="1" w:styleId="HeaderChar">
    <w:name w:val="Header Char"/>
    <w:basedOn w:val="DefaultParagraphFont"/>
    <w:link w:val="Header"/>
    <w:uiPriority w:val="99"/>
    <w:rsid w:val="009B7C36"/>
  </w:style>
  <w:style w:type="paragraph" w:styleId="Footer">
    <w:name w:val="footer"/>
    <w:basedOn w:val="Normal"/>
    <w:link w:val="FooterChar"/>
    <w:uiPriority w:val="99"/>
    <w:unhideWhenUsed/>
    <w:rsid w:val="009B7C36"/>
    <w:pPr>
      <w:tabs>
        <w:tab w:val="center" w:pos="4680"/>
        <w:tab w:val="right" w:pos="9360"/>
      </w:tabs>
    </w:pPr>
  </w:style>
  <w:style w:type="character" w:customStyle="1" w:styleId="FooterChar">
    <w:name w:val="Footer Char"/>
    <w:basedOn w:val="DefaultParagraphFont"/>
    <w:link w:val="Footer"/>
    <w:uiPriority w:val="99"/>
    <w:rsid w:val="009B7C36"/>
  </w:style>
  <w:style w:type="paragraph" w:styleId="Revision">
    <w:name w:val="Revision"/>
    <w:hidden/>
    <w:uiPriority w:val="99"/>
    <w:semiHidden/>
    <w:rsid w:val="00DE393E"/>
    <w:pPr>
      <w:spacing w:after="0" w:line="240" w:lineRule="auto"/>
    </w:pPr>
  </w:style>
  <w:style w:type="paragraph" w:customStyle="1" w:styleId="Default">
    <w:name w:val="Default"/>
    <w:rsid w:val="004C386B"/>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2Char">
    <w:name w:val="Heading 2 Char"/>
    <w:basedOn w:val="DefaultParagraphFont"/>
    <w:link w:val="Heading2"/>
    <w:uiPriority w:val="9"/>
    <w:semiHidden/>
    <w:rsid w:val="0014728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7254">
      <w:bodyDiv w:val="1"/>
      <w:marLeft w:val="0"/>
      <w:marRight w:val="0"/>
      <w:marTop w:val="0"/>
      <w:marBottom w:val="0"/>
      <w:divBdr>
        <w:top w:val="none" w:sz="0" w:space="0" w:color="auto"/>
        <w:left w:val="none" w:sz="0" w:space="0" w:color="auto"/>
        <w:bottom w:val="none" w:sz="0" w:space="0" w:color="auto"/>
        <w:right w:val="none" w:sz="0" w:space="0" w:color="auto"/>
      </w:divBdr>
    </w:div>
    <w:div w:id="305860821">
      <w:bodyDiv w:val="1"/>
      <w:marLeft w:val="0"/>
      <w:marRight w:val="0"/>
      <w:marTop w:val="0"/>
      <w:marBottom w:val="0"/>
      <w:divBdr>
        <w:top w:val="none" w:sz="0" w:space="0" w:color="auto"/>
        <w:left w:val="none" w:sz="0" w:space="0" w:color="auto"/>
        <w:bottom w:val="none" w:sz="0" w:space="0" w:color="auto"/>
        <w:right w:val="none" w:sz="0" w:space="0" w:color="auto"/>
      </w:divBdr>
    </w:div>
    <w:div w:id="452748657">
      <w:bodyDiv w:val="1"/>
      <w:marLeft w:val="0"/>
      <w:marRight w:val="0"/>
      <w:marTop w:val="0"/>
      <w:marBottom w:val="0"/>
      <w:divBdr>
        <w:top w:val="none" w:sz="0" w:space="0" w:color="auto"/>
        <w:left w:val="none" w:sz="0" w:space="0" w:color="auto"/>
        <w:bottom w:val="none" w:sz="0" w:space="0" w:color="auto"/>
        <w:right w:val="none" w:sz="0" w:space="0" w:color="auto"/>
      </w:divBdr>
    </w:div>
    <w:div w:id="810563650">
      <w:bodyDiv w:val="1"/>
      <w:marLeft w:val="0"/>
      <w:marRight w:val="0"/>
      <w:marTop w:val="0"/>
      <w:marBottom w:val="0"/>
      <w:divBdr>
        <w:top w:val="none" w:sz="0" w:space="0" w:color="auto"/>
        <w:left w:val="none" w:sz="0" w:space="0" w:color="auto"/>
        <w:bottom w:val="none" w:sz="0" w:space="0" w:color="auto"/>
        <w:right w:val="none" w:sz="0" w:space="0" w:color="auto"/>
      </w:divBdr>
    </w:div>
    <w:div w:id="919758017">
      <w:bodyDiv w:val="1"/>
      <w:marLeft w:val="0"/>
      <w:marRight w:val="0"/>
      <w:marTop w:val="0"/>
      <w:marBottom w:val="0"/>
      <w:divBdr>
        <w:top w:val="none" w:sz="0" w:space="0" w:color="auto"/>
        <w:left w:val="none" w:sz="0" w:space="0" w:color="auto"/>
        <w:bottom w:val="none" w:sz="0" w:space="0" w:color="auto"/>
        <w:right w:val="none" w:sz="0" w:space="0" w:color="auto"/>
      </w:divBdr>
    </w:div>
    <w:div w:id="990668910">
      <w:bodyDiv w:val="1"/>
      <w:marLeft w:val="0"/>
      <w:marRight w:val="0"/>
      <w:marTop w:val="0"/>
      <w:marBottom w:val="0"/>
      <w:divBdr>
        <w:top w:val="none" w:sz="0" w:space="0" w:color="auto"/>
        <w:left w:val="none" w:sz="0" w:space="0" w:color="auto"/>
        <w:bottom w:val="none" w:sz="0" w:space="0" w:color="auto"/>
        <w:right w:val="none" w:sz="0" w:space="0" w:color="auto"/>
      </w:divBdr>
    </w:div>
    <w:div w:id="1457062213">
      <w:bodyDiv w:val="1"/>
      <w:marLeft w:val="0"/>
      <w:marRight w:val="0"/>
      <w:marTop w:val="0"/>
      <w:marBottom w:val="0"/>
      <w:divBdr>
        <w:top w:val="none" w:sz="0" w:space="0" w:color="auto"/>
        <w:left w:val="none" w:sz="0" w:space="0" w:color="auto"/>
        <w:bottom w:val="none" w:sz="0" w:space="0" w:color="auto"/>
        <w:right w:val="none" w:sz="0" w:space="0" w:color="auto"/>
      </w:divBdr>
    </w:div>
    <w:div w:id="1501507311">
      <w:bodyDiv w:val="1"/>
      <w:marLeft w:val="0"/>
      <w:marRight w:val="0"/>
      <w:marTop w:val="0"/>
      <w:marBottom w:val="0"/>
      <w:divBdr>
        <w:top w:val="none" w:sz="0" w:space="0" w:color="auto"/>
        <w:left w:val="none" w:sz="0" w:space="0" w:color="auto"/>
        <w:bottom w:val="none" w:sz="0" w:space="0" w:color="auto"/>
        <w:right w:val="none" w:sz="0" w:space="0" w:color="auto"/>
      </w:divBdr>
    </w:div>
    <w:div w:id="1889684709">
      <w:bodyDiv w:val="1"/>
      <w:marLeft w:val="0"/>
      <w:marRight w:val="0"/>
      <w:marTop w:val="0"/>
      <w:marBottom w:val="0"/>
      <w:divBdr>
        <w:top w:val="none" w:sz="0" w:space="0" w:color="auto"/>
        <w:left w:val="none" w:sz="0" w:space="0" w:color="auto"/>
        <w:bottom w:val="none" w:sz="0" w:space="0" w:color="auto"/>
        <w:right w:val="none" w:sz="0" w:space="0" w:color="auto"/>
      </w:divBdr>
    </w:div>
    <w:div w:id="2008555340">
      <w:bodyDiv w:val="1"/>
      <w:marLeft w:val="0"/>
      <w:marRight w:val="0"/>
      <w:marTop w:val="0"/>
      <w:marBottom w:val="0"/>
      <w:divBdr>
        <w:top w:val="none" w:sz="0" w:space="0" w:color="auto"/>
        <w:left w:val="none" w:sz="0" w:space="0" w:color="auto"/>
        <w:bottom w:val="none" w:sz="0" w:space="0" w:color="auto"/>
        <w:right w:val="none" w:sz="0" w:space="0" w:color="auto"/>
      </w:divBdr>
    </w:div>
    <w:div w:id="2065525970">
      <w:bodyDiv w:val="1"/>
      <w:marLeft w:val="0"/>
      <w:marRight w:val="0"/>
      <w:marTop w:val="0"/>
      <w:marBottom w:val="0"/>
      <w:divBdr>
        <w:top w:val="none" w:sz="0" w:space="0" w:color="auto"/>
        <w:left w:val="none" w:sz="0" w:space="0" w:color="auto"/>
        <w:bottom w:val="none" w:sz="0" w:space="0" w:color="auto"/>
        <w:right w:val="none" w:sz="0" w:space="0" w:color="auto"/>
      </w:divBdr>
    </w:div>
    <w:div w:id="207966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_rels/footnotes.xml.rels><?xml version="1.0" encoding="UTF-8" standalone="yes"?>
<Relationships xmlns="http://schemas.openxmlformats.org/package/2006/relationships"><Relationship Id="rId3" Type="http://schemas.openxmlformats.org/officeDocument/2006/relationships/hyperlink" Target="http://www.census.gov/programs-surveys/cps/technical-documentation/user-notes/geographic-mobility-user-notes/2012-01.html" TargetMode="External"/><Relationship Id="rId2" Type="http://schemas.openxmlformats.org/officeDocument/2006/relationships/hyperlink" Target="http://www.census.gov/prod/2001pubs/p23-204.pdf" TargetMode="External"/><Relationship Id="rId1" Type="http://schemas.openxmlformats.org/officeDocument/2006/relationships/hyperlink" Target="http://www.census.gov/content/dam/Census/library/publications/2001/demo/p23-204.pdf" TargetMode="External"/><Relationship Id="rId5" Type="http://schemas.openxmlformats.org/officeDocument/2006/relationships/hyperlink" Target="http://www2.census.gov/programs-surveys/cps/techdocs/cpsmar16.pdf" TargetMode="External"/><Relationship Id="rId4" Type="http://schemas.openxmlformats.org/officeDocument/2006/relationships/hyperlink" Target="http://www.census.gov/data/tables/time-series/demo/geographic-mobility/histori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10C5B-A7B9-406D-98FC-5468D5CD0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93A320B7.dotm</Template>
  <TotalTime>0</TotalTime>
  <Pages>22</Pages>
  <Words>4396</Words>
  <Characters>23346</Characters>
  <Application>Microsoft Office Word</Application>
  <DocSecurity>0</DocSecurity>
  <Lines>630</Lines>
  <Paragraphs>315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 Ihrke</dc:creator>
  <cp:lastModifiedBy>Nanette Butler (CENSUS/DSD FED)</cp:lastModifiedBy>
  <cp:revision>2</cp:revision>
  <cp:lastPrinted>2016-11-15T13:19:00Z</cp:lastPrinted>
  <dcterms:created xsi:type="dcterms:W3CDTF">2016-11-15T21:39:00Z</dcterms:created>
  <dcterms:modified xsi:type="dcterms:W3CDTF">2016-11-15T21:39:00Z</dcterms:modified>
</cp:coreProperties>
</file>