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079" w:rsidRPr="008D0079" w:rsidRDefault="001C14B9" w:rsidP="008D0079">
      <w:pPr>
        <w:jc w:val="center"/>
        <w:rPr>
          <w:b/>
        </w:rPr>
      </w:pPr>
      <w:bookmarkStart w:id="0" w:name="_GoBack"/>
      <w:bookmarkEnd w:id="0"/>
      <w:r>
        <w:rPr>
          <w:b/>
        </w:rPr>
        <w:t xml:space="preserve">Income </w:t>
      </w:r>
      <w:r w:rsidR="008F46F5">
        <w:rPr>
          <w:b/>
        </w:rPr>
        <w:t>Inequality O</w:t>
      </w:r>
      <w:r w:rsidR="008D0079" w:rsidRPr="008D0079">
        <w:rPr>
          <w:b/>
        </w:rPr>
        <w:t>ver Time: How Choice of a Metric Matters</w:t>
      </w:r>
    </w:p>
    <w:p w:rsidR="008D0079" w:rsidRDefault="008D0079" w:rsidP="008D0079">
      <w:pPr>
        <w:spacing w:after="0"/>
        <w:jc w:val="center"/>
      </w:pPr>
      <w:r>
        <w:t>Brian Glassman</w:t>
      </w:r>
    </w:p>
    <w:p w:rsidR="008D0079" w:rsidRDefault="008D0079" w:rsidP="008D0079">
      <w:pPr>
        <w:spacing w:after="0"/>
        <w:jc w:val="center"/>
      </w:pPr>
      <w:r>
        <w:t>Poverty Statistics Branch</w:t>
      </w:r>
    </w:p>
    <w:p w:rsidR="008D0079" w:rsidRDefault="008D0079" w:rsidP="008D0079">
      <w:pPr>
        <w:spacing w:after="0"/>
        <w:jc w:val="center"/>
      </w:pPr>
      <w:r>
        <w:t>Social, Economic, and Housing Statistics Division</w:t>
      </w:r>
    </w:p>
    <w:p w:rsidR="008D0079" w:rsidRDefault="008D0079" w:rsidP="008D0079">
      <w:pPr>
        <w:spacing w:after="0"/>
        <w:jc w:val="center"/>
      </w:pPr>
      <w:r>
        <w:t>U.S. Census Bureau</w:t>
      </w:r>
    </w:p>
    <w:p w:rsidR="008D0079" w:rsidRDefault="008D0079" w:rsidP="008D0079">
      <w:pPr>
        <w:jc w:val="center"/>
      </w:pPr>
    </w:p>
    <w:p w:rsidR="008D0079" w:rsidRDefault="008D0079" w:rsidP="008D0079">
      <w:pPr>
        <w:spacing w:after="0"/>
        <w:jc w:val="center"/>
      </w:pPr>
      <w:r>
        <w:t>Prepared for the Southern Economic Association Annual Meeting</w:t>
      </w:r>
    </w:p>
    <w:p w:rsidR="008D0079" w:rsidRDefault="008D0079" w:rsidP="008D0079">
      <w:pPr>
        <w:spacing w:after="0"/>
        <w:jc w:val="center"/>
      </w:pPr>
      <w:r>
        <w:t xml:space="preserve">Washington, DC.  </w:t>
      </w:r>
      <w:r w:rsidR="008F46F5">
        <w:t>November 19, 2016</w:t>
      </w:r>
    </w:p>
    <w:p w:rsidR="008D0079" w:rsidRDefault="008D0079" w:rsidP="008D0079">
      <w:pPr>
        <w:spacing w:after="0"/>
        <w:jc w:val="center"/>
      </w:pPr>
    </w:p>
    <w:p w:rsidR="008D0079" w:rsidRPr="005477CF" w:rsidRDefault="003733FC" w:rsidP="003733FC">
      <w:pPr>
        <w:jc w:val="center"/>
      </w:pPr>
      <w:r w:rsidRPr="005477CF">
        <w:rPr>
          <w:rFonts w:ascii="Calibri" w:hAnsi="Calibri"/>
          <w:bCs/>
          <w:color w:val="000000"/>
        </w:rPr>
        <w:t>SEHSD Working Paper Number FY2016-24</w:t>
      </w:r>
    </w:p>
    <w:p w:rsidR="008F46F5" w:rsidRDefault="008F46F5" w:rsidP="008D0079"/>
    <w:p w:rsidR="008D0079" w:rsidRPr="0003684E" w:rsidRDefault="0003684E" w:rsidP="0003684E">
      <w:pPr>
        <w:rPr>
          <w:b/>
        </w:rPr>
      </w:pPr>
      <w:r>
        <w:rPr>
          <w:b/>
        </w:rPr>
        <w:t>Abstract</w:t>
      </w:r>
    </w:p>
    <w:p w:rsidR="005D47E0" w:rsidRDefault="0003684E" w:rsidP="00617181">
      <w:pPr>
        <w:spacing w:after="0" w:line="240" w:lineRule="auto"/>
      </w:pPr>
      <w:r>
        <w:tab/>
      </w:r>
      <w:r w:rsidR="008F6F02">
        <w:t>Many previous studies have found that</w:t>
      </w:r>
      <w:r>
        <w:t xml:space="preserve"> income inequality has increased over </w:t>
      </w:r>
      <w:r w:rsidR="008448E3">
        <w:t>the last half century</w:t>
      </w:r>
      <w:r>
        <w:t xml:space="preserve"> in the United States.</w:t>
      </w:r>
      <w:r w:rsidR="009903BD">
        <w:t xml:space="preserve">  However, </w:t>
      </w:r>
      <w:r w:rsidR="005D47E0">
        <w:t>I examine this issue differently than studies have previously.  First, I use the 2005 to 2015 American Community Surveys (ACS) to calculate</w:t>
      </w:r>
      <w:r w:rsidR="008F6F02">
        <w:t xml:space="preserve"> equivalence and cost of living adjusted</w:t>
      </w:r>
      <w:r w:rsidR="005D47E0">
        <w:t xml:space="preserve"> household income.  While the ACS has been used to measure income inequality, it is less often used to measure changes in income inequality over time.  Second, I look at how changes in income inequality vary by income inequality metric.  I use nine income inequality metrics along with income share quintiles.</w:t>
      </w:r>
      <w:r w:rsidR="00617181">
        <w:t xml:space="preserve">  </w:t>
      </w:r>
      <w:r w:rsidR="005D47E0">
        <w:t>Third, I look at how changes in income inequality vary by type of household income.  I separate pre-tax, pre-transfer household income and after-tax, after-transfer household income.  Fourth, I look at how income inequality changes vary by year.  Rather than just talk about the overall increase in income inequality, I look at how year to year changes in income inequality may be positive, negative, or</w:t>
      </w:r>
      <w:r w:rsidR="00617181">
        <w:t xml:space="preserve"> not statistically significant.  </w:t>
      </w:r>
      <w:r w:rsidR="005D47E0">
        <w:t>Finally, I look at how income inequality changes by Metropolitan Statistical Area (MSA).</w:t>
      </w:r>
      <w:r w:rsidR="005415CF">
        <w:t xml:space="preserve">  While the trend in the United States is for income inequality to be increasing, this trend is not universal across MSAs.</w:t>
      </w:r>
    </w:p>
    <w:p w:rsidR="008D0079" w:rsidRDefault="008D0079" w:rsidP="008D0079">
      <w:pPr>
        <w:spacing w:after="0"/>
      </w:pPr>
    </w:p>
    <w:p w:rsidR="008D0079" w:rsidRDefault="008D0079" w:rsidP="008D0079">
      <w:pPr>
        <w:rPr>
          <w:b/>
        </w:rPr>
      </w:pPr>
    </w:p>
    <w:p w:rsidR="00617181" w:rsidRDefault="00617181" w:rsidP="008D0079">
      <w:pPr>
        <w:rPr>
          <w:b/>
        </w:rPr>
      </w:pPr>
    </w:p>
    <w:p w:rsidR="00617181" w:rsidRDefault="00617181" w:rsidP="008D0079">
      <w:pPr>
        <w:rPr>
          <w:b/>
        </w:rPr>
      </w:pPr>
    </w:p>
    <w:p w:rsidR="00617181" w:rsidRDefault="00617181" w:rsidP="008D0079">
      <w:pPr>
        <w:rPr>
          <w:b/>
        </w:rPr>
      </w:pPr>
    </w:p>
    <w:p w:rsidR="00617181" w:rsidRDefault="00617181" w:rsidP="008D0079">
      <w:pPr>
        <w:rPr>
          <w:b/>
        </w:rPr>
      </w:pPr>
    </w:p>
    <w:p w:rsidR="00617181" w:rsidRDefault="00617181" w:rsidP="008D0079">
      <w:pPr>
        <w:rPr>
          <w:b/>
        </w:rPr>
      </w:pPr>
    </w:p>
    <w:p w:rsidR="008D0079" w:rsidRPr="00A30E4F" w:rsidRDefault="008D0079" w:rsidP="008D0079">
      <w:pPr>
        <w:spacing w:after="0"/>
        <w:rPr>
          <w:i/>
        </w:rPr>
      </w:pPr>
      <w:r w:rsidRPr="00A30E4F">
        <w:rPr>
          <w:i/>
        </w:rPr>
        <w:t>Disclaimer:</w:t>
      </w:r>
    </w:p>
    <w:p w:rsidR="008D0079" w:rsidRDefault="008D0079" w:rsidP="008D0079">
      <w:pPr>
        <w:spacing w:after="0"/>
        <w:rPr>
          <w:i/>
        </w:rPr>
      </w:pPr>
      <w:r w:rsidRPr="00E602BE">
        <w:rPr>
          <w:i/>
        </w:rPr>
        <w:t>This paper is released to inform interested parties of ongoing research and to encourage discussion of work in progress.  Any views expressed on statistical, methodological, technical, or operational</w:t>
      </w:r>
      <w:r>
        <w:rPr>
          <w:i/>
        </w:rPr>
        <w:t xml:space="preserve"> issues are those of the author</w:t>
      </w:r>
      <w:r w:rsidRPr="00E602BE">
        <w:rPr>
          <w:i/>
        </w:rPr>
        <w:t xml:space="preserve"> and no</w:t>
      </w:r>
      <w:r>
        <w:rPr>
          <w:i/>
        </w:rPr>
        <w:t>t</w:t>
      </w:r>
      <w:r w:rsidRPr="00E602BE">
        <w:rPr>
          <w:i/>
        </w:rPr>
        <w:t xml:space="preserve"> necessarily of the U.S. Census Bureau.</w:t>
      </w:r>
    </w:p>
    <w:p w:rsidR="00683457" w:rsidRPr="00CB56FE" w:rsidRDefault="008D0079">
      <w:pPr>
        <w:rPr>
          <w:b/>
        </w:rPr>
      </w:pPr>
      <w:r>
        <w:rPr>
          <w:b/>
        </w:rPr>
        <w:lastRenderedPageBreak/>
        <w:t>Intro</w:t>
      </w:r>
      <w:r w:rsidR="00551110">
        <w:rPr>
          <w:b/>
        </w:rPr>
        <w:t>duction</w:t>
      </w:r>
    </w:p>
    <w:p w:rsidR="004949F1" w:rsidRDefault="00A13E7A" w:rsidP="00A06E7B">
      <w:pPr>
        <w:spacing w:after="0" w:line="360" w:lineRule="auto"/>
      </w:pPr>
      <w:r>
        <w:tab/>
      </w:r>
      <w:r w:rsidR="00873487">
        <w:t xml:space="preserve">In this paper, I use one-year estimates from the 2005 American Community Survey through the 2015 American Community Survey to explore how household income inequality has changed over time.  </w:t>
      </w:r>
      <w:r w:rsidR="004B7789">
        <w:t>The American Community Survey (ACS) was designed as a replacement for the Cen</w:t>
      </w:r>
      <w:r w:rsidR="00787D06">
        <w:t xml:space="preserve">sus long form.  It is an ongoing </w:t>
      </w:r>
      <w:r w:rsidR="004B7789">
        <w:t>survey of around 3 million addresses and it provides data on demographic, social, economic, and housing characteristics.</w:t>
      </w:r>
      <w:r w:rsidR="004949F1">
        <w:t xml:space="preserve">  It includes income questions about wages and salaries, self-employment income, interest </w:t>
      </w:r>
      <w:r w:rsidR="00564D2C">
        <w:t>and dividend, Social Security, S</w:t>
      </w:r>
      <w:r w:rsidR="004949F1">
        <w:t xml:space="preserve">upplemental Security Income, public assistance, and retirement.  </w:t>
      </w:r>
    </w:p>
    <w:p w:rsidR="004949F1" w:rsidRDefault="00A06E7B" w:rsidP="00A06E7B">
      <w:pPr>
        <w:spacing w:after="0" w:line="360" w:lineRule="auto"/>
        <w:ind w:firstLine="720"/>
      </w:pPr>
      <w:r>
        <w:t>There are some advantages and disadvantages to using the ACS compared to other possible sources.  One advantage is sample sizes are significantly larger than the Current Population Survey, which allows one to look at smaller levels of geography.  Another advantage is that it includes questions about cash transfers, which may not be available in IRS tax data.</w:t>
      </w:r>
      <w:r w:rsidR="00A3204F">
        <w:t xml:space="preserve">  Furthermore, the ACS has income data for tax filers and non-filers alike, while IRS data lacks information about non-filers.</w:t>
      </w:r>
      <w:r>
        <w:t xml:space="preserve">  The main disadvantage is the short coverage period.  The ACS has only been around since 2005 so the time horizon in this paper is only 11 years: from 2005 to 2015.  Another disadvantage is the ACS has no information on capital gains.  This may serve to under-estimate the true amount of income inequality.</w:t>
      </w:r>
    </w:p>
    <w:p w:rsidR="00F20BAC" w:rsidRDefault="0035542E" w:rsidP="0084641A">
      <w:pPr>
        <w:spacing w:after="0" w:line="360" w:lineRule="auto"/>
        <w:ind w:firstLine="720"/>
      </w:pPr>
      <w:r>
        <w:t>The ACS is used as the data source for this paper for two main reasons.  First, its large size allows for the examination of income inequality in a disaggr</w:t>
      </w:r>
      <w:r w:rsidR="009C4B7B">
        <w:t>eg</w:t>
      </w:r>
      <w:r>
        <w:t>ated way, namely by Metrop</w:t>
      </w:r>
      <w:r w:rsidR="009C4B7B">
        <w:t>o</w:t>
      </w:r>
      <w:r>
        <w:t>litan Statis</w:t>
      </w:r>
      <w:r w:rsidR="009C4B7B">
        <w:t>tical Area (MSA).  The smaller size of other surveys do not allow for this type of analysis.</w:t>
      </w:r>
      <w:r w:rsidR="00F20BAC">
        <w:t xml:space="preserve">  This is important because, while </w:t>
      </w:r>
      <w:r w:rsidR="00532F65">
        <w:t xml:space="preserve">changes in </w:t>
      </w:r>
      <w:r w:rsidR="00F20BAC">
        <w:t>income inequality ove</w:t>
      </w:r>
      <w:r w:rsidR="00532F65">
        <w:t>r time for the United States have</w:t>
      </w:r>
      <w:r w:rsidR="00F20BAC">
        <w:t xml:space="preserve"> been well documented, what income inequality looks like in MSAs and how it has changed over time has not.</w:t>
      </w:r>
    </w:p>
    <w:p w:rsidR="009C4B7B" w:rsidRDefault="00532F65" w:rsidP="0084641A">
      <w:pPr>
        <w:spacing w:after="0" w:line="360" w:lineRule="auto"/>
        <w:ind w:firstLine="720"/>
      </w:pPr>
      <w:r>
        <w:t xml:space="preserve">  Second, the ACS </w:t>
      </w:r>
      <w:r w:rsidR="009C4B7B">
        <w:t>is a dataset that has rarely been used to examine how income inequality has changed over time.  Since it is relatively new and only allows for research back to 2005, it has largely been ignored when researchers have looked at similar questions</w:t>
      </w:r>
      <w:r w:rsidR="0084641A">
        <w:t>.  However, there is now over a decade of data and it now makes sense to use the ACS to look at changes over time.</w:t>
      </w:r>
    </w:p>
    <w:p w:rsidR="004949F1" w:rsidRDefault="0084641A" w:rsidP="0084641A">
      <w:pPr>
        <w:spacing w:after="0" w:line="360" w:lineRule="auto"/>
        <w:ind w:firstLine="720"/>
      </w:pPr>
      <w:r>
        <w:t xml:space="preserve">Other than the use of the ACS, the other thing I do in this paper, which has generally not been done in previous research, is use multiple different income inequality metrics to answer my research questions.  </w:t>
      </w:r>
      <w:r w:rsidR="004949F1">
        <w:t xml:space="preserve">The income inequality metrics used in the analysis of this paper are broken into four general categories.  The first category are summary measures.  These include the Gini Index and the generalized entropy measures.  </w:t>
      </w:r>
    </w:p>
    <w:p w:rsidR="004949F1" w:rsidRDefault="004949F1" w:rsidP="004949F1">
      <w:pPr>
        <w:spacing w:after="0" w:line="360" w:lineRule="auto"/>
        <w:ind w:firstLine="720"/>
      </w:pPr>
      <w:r>
        <w:t>The Gini sums up</w:t>
      </w:r>
      <w:r w:rsidRPr="00E452BB">
        <w:t xml:space="preserve"> the absolute differences between each pair-wise comparison of household income.    This gives a statistical measure of income inequality ranging from zero, perfect equality</w:t>
      </w:r>
      <w:r>
        <w:t xml:space="preserve">, to </w:t>
      </w:r>
      <w:r>
        <w:lastRenderedPageBreak/>
        <w:t xml:space="preserve">one, perfect inequality.  </w:t>
      </w:r>
      <w:r w:rsidRPr="00E452BB">
        <w:t>While the Gini o</w:t>
      </w:r>
      <w:r>
        <w:t>ffers ease of interpretation and</w:t>
      </w:r>
      <w:r w:rsidRPr="00E452BB">
        <w:t xml:space="preserve"> the ability to easily compare among different geographical areas, it does have some limitations.  First, while t</w:t>
      </w:r>
      <w:r>
        <w:t>he Gini I</w:t>
      </w:r>
      <w:r w:rsidRPr="00E452BB">
        <w:t xml:space="preserve">ndex can show that income inequality exists, it does not give any information about where in the income distribution the inequality exists.  </w:t>
      </w:r>
      <w:r>
        <w:t>Second, the Gini I</w:t>
      </w:r>
      <w:r w:rsidRPr="00E452BB">
        <w:t>ndex</w:t>
      </w:r>
      <w:r>
        <w:t xml:space="preserve"> is over-sensitive to changes in</w:t>
      </w:r>
      <w:r w:rsidRPr="00E452BB">
        <w:t xml:space="preserve"> household income towards the middle of the distribution and no</w:t>
      </w:r>
      <w:r>
        <w:t>t sensitive enough to changes in</w:t>
      </w:r>
      <w:r w:rsidRPr="00E452BB">
        <w:t xml:space="preserve"> household income at the lower and upper portions of the income distribution</w:t>
      </w:r>
      <w:r>
        <w:t xml:space="preserve"> (Glassman (2016), </w:t>
      </w:r>
      <w:proofErr w:type="spellStart"/>
      <w:r>
        <w:t>Krozer</w:t>
      </w:r>
      <w:proofErr w:type="spellEnd"/>
      <w:r>
        <w:t xml:space="preserve"> (2015), </w:t>
      </w:r>
      <w:proofErr w:type="spellStart"/>
      <w:r>
        <w:t>Hasenheit</w:t>
      </w:r>
      <w:proofErr w:type="spellEnd"/>
      <w:r>
        <w:t xml:space="preserve"> (2014)).</w:t>
      </w:r>
      <w:r w:rsidRPr="00E452BB">
        <w:t xml:space="preserve">  This means that the Gin</w:t>
      </w:r>
      <w:r>
        <w:t>i I</w:t>
      </w:r>
      <w:r w:rsidRPr="00E452BB">
        <w:t>ndex could be unchanged or even show less inequality while societal income is becoming more polarized.</w:t>
      </w:r>
    </w:p>
    <w:p w:rsidR="004949F1" w:rsidRDefault="004949F1" w:rsidP="004949F1">
      <w:pPr>
        <w:spacing w:after="0" w:line="360" w:lineRule="auto"/>
        <w:ind w:firstLine="720"/>
      </w:pPr>
      <w:r w:rsidRPr="00E452BB">
        <w:t>The generalized entropy measures are the Theil Index and the Mean Logarithmic Deviation of Income (MLD).  Both of</w:t>
      </w:r>
      <w:r>
        <w:t xml:space="preserve"> these measures, like the Gini I</w:t>
      </w:r>
      <w:r w:rsidRPr="00E452BB">
        <w:t>ndex, are summary measures of income dispersion.  However, the Theil Index is more sensitive to changes that affect the upper part of the income distribution, while the MLD is more sensitive to changes that affect the lower part of the income distribution</w:t>
      </w:r>
      <w:r>
        <w:t xml:space="preserve"> (Glassman (2016), World Bank Institute 2005)</w:t>
      </w:r>
      <w:r w:rsidRPr="00E452BB">
        <w:t>.</w:t>
      </w:r>
      <w:r>
        <w:t xml:space="preserve">  Furthermore, unlike the Gini I</w:t>
      </w:r>
      <w:r w:rsidRPr="00E452BB">
        <w:t xml:space="preserve">ndex, neither of these measures is bounded from above.  The main limitation for these measures is that they are both calculated using the natural log which means they are undefined for income less than or equal to zero.  </w:t>
      </w:r>
    </w:p>
    <w:p w:rsidR="004949F1" w:rsidRPr="00E452BB" w:rsidRDefault="004949F1" w:rsidP="004949F1">
      <w:pPr>
        <w:spacing w:after="0" w:line="360" w:lineRule="auto"/>
        <w:ind w:firstLine="720"/>
      </w:pPr>
      <w:r>
        <w:t xml:space="preserve">The second category of income inequality metrics are income ratios.  </w:t>
      </w:r>
      <w:r w:rsidRPr="00E452BB">
        <w:t>The first of these metrics is the Palma Ratio.  This measure is calculated by d</w:t>
      </w:r>
      <w:r>
        <w:t>ividing the total income accrued by households in the top 10 percent</w:t>
      </w:r>
      <w:r w:rsidRPr="00E452BB">
        <w:t xml:space="preserve"> of the income distr</w:t>
      </w:r>
      <w:r>
        <w:t>ibution by the total income accrued by households in the bottom 40 percent</w:t>
      </w:r>
      <w:r w:rsidRPr="00E452BB">
        <w:t xml:space="preserve"> of the income distribution.  The next metric is called the 80:20 ratio.  This ratio comp</w:t>
      </w:r>
      <w:r>
        <w:t>ares how much richer the top 20 percent</w:t>
      </w:r>
      <w:r w:rsidRPr="00E452BB">
        <w:t xml:space="preserve"> of households are compared to the bottom 2</w:t>
      </w:r>
      <w:r>
        <w:t>0 percent</w:t>
      </w:r>
      <w:r w:rsidRPr="00E452BB">
        <w:t xml:space="preserve"> of households.  This metric is calculated by dividing the income at the top quintile cutoff point by the income at the bottom quintile cutoff point.  This ratio igno</w:t>
      </w:r>
      <w:r>
        <w:t>res the effect of the middle 60 percent</w:t>
      </w:r>
      <w:r w:rsidRPr="00E452BB">
        <w:t>, which tends to be stable and less interesting economically</w:t>
      </w:r>
      <w:r w:rsidRPr="00E452BB">
        <w:rPr>
          <w:b/>
        </w:rPr>
        <w:t xml:space="preserve">.  </w:t>
      </w:r>
    </w:p>
    <w:p w:rsidR="004949F1" w:rsidRPr="00E452BB" w:rsidRDefault="004949F1" w:rsidP="004949F1">
      <w:pPr>
        <w:spacing w:after="0" w:line="360" w:lineRule="auto"/>
      </w:pPr>
      <w:r w:rsidRPr="00E452BB">
        <w:tab/>
        <w:t xml:space="preserve">The </w:t>
      </w:r>
      <w:r>
        <w:t>third category</w:t>
      </w:r>
      <w:r w:rsidRPr="00E452BB">
        <w:t xml:space="preserve"> of metrics look at non-overlapping parts of the income distribution and are calculated using the same methods as the 80:20 ratio.  These metrics are the 90:10 ratio and the 99:90 ratio.  The 90:10 ratio is then further broken down into the 90:50 ratio and the 50:10 ratio.  </w:t>
      </w:r>
      <w:r>
        <w:t>Each of these ratios</w:t>
      </w:r>
      <w:r w:rsidRPr="00E452BB">
        <w:t xml:space="preserve"> show what is happening at different parts of the income distri</w:t>
      </w:r>
      <w:r>
        <w:t>bution and thus provide a more complete</w:t>
      </w:r>
      <w:r w:rsidRPr="00E452BB">
        <w:t xml:space="preserve"> view of income inequality then a simple summary measure.  </w:t>
      </w:r>
    </w:p>
    <w:p w:rsidR="004949F1" w:rsidRPr="004949F1" w:rsidRDefault="004949F1" w:rsidP="004949F1">
      <w:pPr>
        <w:spacing w:after="0" w:line="360" w:lineRule="auto"/>
        <w:rPr>
          <w:rFonts w:ascii="Calibri" w:eastAsia="Times New Roman" w:hAnsi="Calibri" w:cs="Times New Roman"/>
          <w:color w:val="000000"/>
        </w:rPr>
      </w:pPr>
      <w:r>
        <w:rPr>
          <w:rFonts w:ascii="Calibri" w:eastAsia="Times New Roman" w:hAnsi="Calibri" w:cs="Times New Roman"/>
          <w:b/>
          <w:color w:val="000000"/>
        </w:rPr>
        <w:tab/>
      </w:r>
      <w:r w:rsidRPr="00E84175">
        <w:rPr>
          <w:rFonts w:ascii="Calibri" w:eastAsia="Times New Roman" w:hAnsi="Calibri" w:cs="Times New Roman"/>
          <w:color w:val="000000"/>
        </w:rPr>
        <w:t>Th</w:t>
      </w:r>
      <w:r>
        <w:rPr>
          <w:rFonts w:ascii="Calibri" w:eastAsia="Times New Roman" w:hAnsi="Calibri" w:cs="Times New Roman"/>
          <w:color w:val="000000"/>
        </w:rPr>
        <w:t>e fourth category of metrics are</w:t>
      </w:r>
      <w:r w:rsidRPr="00E84175">
        <w:rPr>
          <w:rFonts w:ascii="Calibri" w:eastAsia="Times New Roman" w:hAnsi="Calibri" w:cs="Times New Roman"/>
          <w:color w:val="000000"/>
        </w:rPr>
        <w:t xml:space="preserve"> income shares.</w:t>
      </w:r>
      <w:r>
        <w:rPr>
          <w:rFonts w:ascii="Calibri" w:eastAsia="Times New Roman" w:hAnsi="Calibri" w:cs="Times New Roman"/>
          <w:color w:val="000000"/>
        </w:rPr>
        <w:t xml:space="preserve">  The first type of income shares are by quintiles.  These represent the share of income accrued by the bottom twenty percent of the income distribution up to the top twenty percent of the income distribution.  These five measures taken </w:t>
      </w:r>
      <w:r>
        <w:rPr>
          <w:rFonts w:ascii="Calibri" w:eastAsia="Times New Roman" w:hAnsi="Calibri" w:cs="Times New Roman"/>
          <w:color w:val="000000"/>
        </w:rPr>
        <w:lastRenderedPageBreak/>
        <w:t xml:space="preserve">together give a comprehensive picture of the household income distribution.  The second type is the income share held by the top one percent of the income distribution.  </w:t>
      </w:r>
    </w:p>
    <w:p w:rsidR="004949F1" w:rsidRDefault="004949F1" w:rsidP="004949F1">
      <w:pPr>
        <w:spacing w:after="0" w:line="360" w:lineRule="auto"/>
        <w:ind w:firstLine="360"/>
      </w:pPr>
      <w:r>
        <w:t xml:space="preserve">The purpose of this paper is to identify trends in household income inequality from 2005 to 2015.  To do this, I address several related questions.  First, how has the effect of government programs, defined in this paper as cash transfer payments and federal and state taxes, on income inequality changed over time?  I also look at how these effects vary by income inequality metric.  </w:t>
      </w:r>
    </w:p>
    <w:p w:rsidR="004949F1" w:rsidRDefault="004949F1" w:rsidP="004949F1">
      <w:pPr>
        <w:spacing w:after="0" w:line="360" w:lineRule="auto"/>
        <w:ind w:firstLine="360"/>
      </w:pPr>
      <w:r>
        <w:t>Second, how do the changes in income inequality over this time period vary based on the income inequality metric used?  I answer this question in three different ways:</w:t>
      </w:r>
    </w:p>
    <w:p w:rsidR="004949F1" w:rsidRDefault="004949F1" w:rsidP="004949F1">
      <w:pPr>
        <w:pStyle w:val="ListParagraph"/>
        <w:numPr>
          <w:ilvl w:val="0"/>
          <w:numId w:val="12"/>
        </w:numPr>
        <w:spacing w:line="360" w:lineRule="auto"/>
      </w:pPr>
      <w:r>
        <w:t xml:space="preserve">Compare income inequality metrics in 2005 to income inequality metrics in 2015. </w:t>
      </w:r>
    </w:p>
    <w:p w:rsidR="004949F1" w:rsidRDefault="004949F1" w:rsidP="004949F1">
      <w:pPr>
        <w:pStyle w:val="ListParagraph"/>
        <w:numPr>
          <w:ilvl w:val="0"/>
          <w:numId w:val="12"/>
        </w:numPr>
        <w:spacing w:line="360" w:lineRule="auto"/>
      </w:pPr>
      <w:r>
        <w:t>Examine how income inequality metrics change year-by-year from 2005 to 2015</w:t>
      </w:r>
    </w:p>
    <w:p w:rsidR="004949F1" w:rsidRDefault="004949F1" w:rsidP="00B256E3">
      <w:pPr>
        <w:pStyle w:val="ListParagraph"/>
        <w:numPr>
          <w:ilvl w:val="0"/>
          <w:numId w:val="12"/>
        </w:numPr>
        <w:spacing w:line="360" w:lineRule="auto"/>
      </w:pPr>
      <w:r>
        <w:t>Examine how income inequality metrics change from 2005 to 2015 in MSA</w:t>
      </w:r>
      <w:r w:rsidR="00532F65">
        <w:t>s</w:t>
      </w:r>
    </w:p>
    <w:p w:rsidR="004949F1" w:rsidRPr="004949F1" w:rsidRDefault="004949F1" w:rsidP="00B256E3">
      <w:pPr>
        <w:spacing w:line="360" w:lineRule="auto"/>
        <w:rPr>
          <w:b/>
        </w:rPr>
      </w:pPr>
      <w:r w:rsidRPr="004949F1">
        <w:rPr>
          <w:b/>
        </w:rPr>
        <w:t>Literature Review</w:t>
      </w:r>
    </w:p>
    <w:p w:rsidR="00F51C6E" w:rsidRDefault="00040C08" w:rsidP="00A06E7B">
      <w:pPr>
        <w:spacing w:after="0" w:line="360" w:lineRule="auto"/>
        <w:ind w:firstLine="720"/>
      </w:pPr>
      <w:r>
        <w:t>The research on how income inequality has changed over time has mainly used two sources of data.  The first is IRS tax data.  This is used most famously by Piketty</w:t>
      </w:r>
      <w:r w:rsidR="008448E3">
        <w:t xml:space="preserve"> and </w:t>
      </w:r>
      <w:proofErr w:type="spellStart"/>
      <w:r w:rsidR="008448E3">
        <w:t>Saez</w:t>
      </w:r>
      <w:proofErr w:type="spellEnd"/>
      <w:r w:rsidR="007F3113">
        <w:t xml:space="preserve"> in their 2003 paper and in regular updates over the last 13 years</w:t>
      </w:r>
      <w:r w:rsidR="004D04FC">
        <w:t xml:space="preserve"> (Piketty and </w:t>
      </w:r>
      <w:proofErr w:type="spellStart"/>
      <w:r w:rsidR="004D04FC">
        <w:t>Saez</w:t>
      </w:r>
      <w:proofErr w:type="spellEnd"/>
      <w:r w:rsidR="004D04FC">
        <w:t xml:space="preserve"> 2003)</w:t>
      </w:r>
      <w:r>
        <w:t>.  This is a great source of historical data on tax filers</w:t>
      </w:r>
      <w:r w:rsidR="004B7789">
        <w:t>,</w:t>
      </w:r>
      <w:r>
        <w:t xml:space="preserve"> which these author</w:t>
      </w:r>
      <w:r w:rsidR="00050A30">
        <w:t>s use from 1913 to the present</w:t>
      </w:r>
      <w:r w:rsidR="00555464">
        <w:t xml:space="preserve"> to examine how pre-tax income inequality, measured by income shares among and within the top decile, has changed over time</w:t>
      </w:r>
      <w:r w:rsidR="00050A30">
        <w:t>.</w:t>
      </w:r>
      <w:r w:rsidR="00F51C6E">
        <w:t xml:space="preserve">  The authors find evidence of increasing inco</w:t>
      </w:r>
      <w:r w:rsidR="00B93C2D">
        <w:t>me inequality from about the late-197</w:t>
      </w:r>
      <w:r w:rsidR="00F51C6E">
        <w:t>0s through the present.</w:t>
      </w:r>
    </w:p>
    <w:p w:rsidR="00B256E3" w:rsidRDefault="00040C08" w:rsidP="005D5BB5">
      <w:pPr>
        <w:spacing w:after="0" w:line="360" w:lineRule="auto"/>
      </w:pPr>
      <w:r>
        <w:t>The second source is the Current Population Survey (CPS).</w:t>
      </w:r>
      <w:r w:rsidR="00B256E3">
        <w:t xml:space="preserve">  Income inequality can be measured from 1967 to </w:t>
      </w:r>
      <w:r w:rsidR="00F97A71">
        <w:t xml:space="preserve">the </w:t>
      </w:r>
      <w:r w:rsidR="004D04FC">
        <w:t xml:space="preserve">present for households </w:t>
      </w:r>
      <w:r w:rsidR="00BA4FBD">
        <w:t xml:space="preserve">using a large amount of information on income </w:t>
      </w:r>
      <w:r w:rsidR="004D04FC">
        <w:t>(</w:t>
      </w:r>
      <w:proofErr w:type="spellStart"/>
      <w:r w:rsidR="00963E99">
        <w:t>Gindelsky</w:t>
      </w:r>
      <w:proofErr w:type="spellEnd"/>
      <w:r w:rsidR="00963E99">
        <w:t xml:space="preserve"> (2015);</w:t>
      </w:r>
      <w:r w:rsidR="002650BB">
        <w:t xml:space="preserve"> </w:t>
      </w:r>
      <w:r w:rsidR="0009787B">
        <w:t>Meyer and Sullivan (2013</w:t>
      </w:r>
      <w:r w:rsidR="00963E99">
        <w:t xml:space="preserve">); </w:t>
      </w:r>
      <w:proofErr w:type="spellStart"/>
      <w:r w:rsidR="00963E99">
        <w:t>Burkhauser</w:t>
      </w:r>
      <w:proofErr w:type="spellEnd"/>
      <w:r w:rsidR="00963E99">
        <w:t xml:space="preserve"> (2011); McNichol et al. (2012); Heathcote, </w:t>
      </w:r>
      <w:proofErr w:type="spellStart"/>
      <w:r w:rsidR="00963E99">
        <w:t>Perri</w:t>
      </w:r>
      <w:proofErr w:type="spellEnd"/>
      <w:r w:rsidR="00963E99">
        <w:t xml:space="preserve">, and </w:t>
      </w:r>
      <w:proofErr w:type="spellStart"/>
      <w:r w:rsidR="00963E99">
        <w:t>Violante</w:t>
      </w:r>
      <w:proofErr w:type="spellEnd"/>
      <w:r w:rsidR="00963E99">
        <w:t xml:space="preserve"> (2009);</w:t>
      </w:r>
      <w:r w:rsidR="00B256E3">
        <w:t xml:space="preserve"> Gottschalk and </w:t>
      </w:r>
      <w:proofErr w:type="spellStart"/>
      <w:r w:rsidR="00B256E3">
        <w:t>Danziger</w:t>
      </w:r>
      <w:proofErr w:type="spellEnd"/>
      <w:r w:rsidR="00B256E3">
        <w:t xml:space="preserve"> (2005)).</w:t>
      </w:r>
      <w:r w:rsidR="00050A30">
        <w:t xml:space="preserve">   A combination of the two sources has been used as well.  The Congressional Budget Office</w:t>
      </w:r>
      <w:r w:rsidR="008448E3">
        <w:t xml:space="preserve"> (CBO)</w:t>
      </w:r>
      <w:r w:rsidR="00050A30">
        <w:t xml:space="preserve"> used the Statistics of Income (SOI), which is a </w:t>
      </w:r>
      <w:proofErr w:type="spellStart"/>
      <w:r w:rsidR="00050A30">
        <w:t>nationaly</w:t>
      </w:r>
      <w:proofErr w:type="spellEnd"/>
      <w:r w:rsidR="00050A30">
        <w:t xml:space="preserve"> representative sample of tax returns collected by the IRS, matched with the CPS</w:t>
      </w:r>
      <w:r w:rsidR="00787D06">
        <w:t xml:space="preserve"> to examine how income inequality changed over three decades</w:t>
      </w:r>
      <w:r w:rsidR="00050A30">
        <w:t xml:space="preserve"> (CBO 2011).</w:t>
      </w:r>
      <w:r w:rsidR="005D5BB5">
        <w:t xml:space="preserve">  The CBO report examined how income inequality changed from 1979 to 2007.  The analysis also looked at the effect of government programs.  In other words, how does income inequality differ based on pre-tax, pre-transfer income versus after-tax, after-transfer income?  </w:t>
      </w:r>
    </w:p>
    <w:p w:rsidR="005D5BB5" w:rsidRDefault="00B256E3" w:rsidP="00A06E7B">
      <w:pPr>
        <w:spacing w:after="0" w:line="360" w:lineRule="auto"/>
      </w:pPr>
      <w:r>
        <w:tab/>
        <w:t xml:space="preserve">Though these two sources are the most often used, other data sources have been used to measure income inequality.  The Bureau of Labor Statistics produced an article in September </w:t>
      </w:r>
      <w:r w:rsidR="008448E3">
        <w:t>of 2015 in which they used the Occupational Employment S</w:t>
      </w:r>
      <w:r>
        <w:t>tatistics (OES) to measure wage inequality</w:t>
      </w:r>
      <w:r w:rsidR="00710CD2">
        <w:t xml:space="preserve">, using the </w:t>
      </w:r>
      <w:r w:rsidR="00710CD2">
        <w:lastRenderedPageBreak/>
        <w:t>90-10 Ratio,</w:t>
      </w:r>
      <w:r>
        <w:t xml:space="preserve"> in </w:t>
      </w:r>
      <w:r w:rsidR="00710CD2">
        <w:t>MSAs from 2003 to 2013</w:t>
      </w:r>
      <w:r w:rsidR="00FF714C">
        <w:t xml:space="preserve"> (Cunningham (2015))</w:t>
      </w:r>
      <w:r>
        <w:t>.</w:t>
      </w:r>
      <w:r w:rsidR="00380604">
        <w:t xml:space="preserve">  The author finds an increase in wage inequality overall for the U.S., but the increase was not uniform</w:t>
      </w:r>
      <w:r w:rsidR="008B5406">
        <w:t xml:space="preserve"> as he shows that more populous MSAs had larger increases in income inequality over time than less-populous MSAs.</w:t>
      </w:r>
      <w:r w:rsidR="005D5BB5">
        <w:t xml:space="preserve">  </w:t>
      </w:r>
    </w:p>
    <w:p w:rsidR="005D5BB5" w:rsidRDefault="00B840B5" w:rsidP="005D5BB5">
      <w:pPr>
        <w:spacing w:after="0" w:line="360" w:lineRule="auto"/>
        <w:ind w:firstLine="720"/>
      </w:pPr>
      <w:r>
        <w:t>A 2011</w:t>
      </w:r>
      <w:r w:rsidR="00B256E3">
        <w:t xml:space="preserve"> Census </w:t>
      </w:r>
      <w:r w:rsidR="00787D06">
        <w:t xml:space="preserve">Bureau </w:t>
      </w:r>
      <w:r w:rsidR="00B256E3">
        <w:t>report used American Community Survey</w:t>
      </w:r>
      <w:r w:rsidR="008448E3">
        <w:t xml:space="preserve"> five-</w:t>
      </w:r>
      <w:r w:rsidR="00B256E3">
        <w:t>year estimates to look at income inequality</w:t>
      </w:r>
      <w:r w:rsidR="008B5406">
        <w:t>, measured by the Gini Index, the 90-10 ratio, and the 95-20 Ratio,</w:t>
      </w:r>
      <w:r w:rsidR="00B256E3">
        <w:t xml:space="preserve"> nationally, in states, and in</w:t>
      </w:r>
      <w:r w:rsidR="002A6BDF">
        <w:t xml:space="preserve"> Metropolitan Statistical Areas (</w:t>
      </w:r>
      <w:r w:rsidR="00B256E3">
        <w:t>MSAs</w:t>
      </w:r>
      <w:r w:rsidR="002A6BDF">
        <w:t>)</w:t>
      </w:r>
      <w:r w:rsidR="00B256E3">
        <w:t xml:space="preserve"> with over one million people</w:t>
      </w:r>
      <w:r w:rsidR="0064410C">
        <w:t xml:space="preserve"> (Weinberg 2011)</w:t>
      </w:r>
      <w:r w:rsidR="00B256E3">
        <w:t>.</w:t>
      </w:r>
      <w:r>
        <w:t xml:space="preserve">  This report covered the 2005-2009 time period, but produced single estimates for the time period.  Mather</w:t>
      </w:r>
      <w:r w:rsidR="005D5BB5">
        <w:t xml:space="preserve"> and </w:t>
      </w:r>
      <w:proofErr w:type="spellStart"/>
      <w:r w:rsidR="005D5BB5">
        <w:t>Jarosz</w:t>
      </w:r>
      <w:proofErr w:type="spellEnd"/>
      <w:r w:rsidR="005D5BB5">
        <w:t xml:space="preserve"> (2014) used Decennial Census data for 1990 and 2000 and ACS five</w:t>
      </w:r>
      <w:r w:rsidR="00787D06">
        <w:t>-</w:t>
      </w:r>
      <w:r>
        <w:t>year estimates</w:t>
      </w:r>
      <w:r w:rsidR="005D5BB5">
        <w:t xml:space="preserve"> for 2008-2012</w:t>
      </w:r>
      <w:r w:rsidR="001A0660">
        <w:t xml:space="preserve"> to look at income ineq</w:t>
      </w:r>
      <w:r w:rsidR="0060170C">
        <w:t>uality and poverty in counties.  The focus of their report was on how income inequality, measured by the Gini Index, was related to poverty in counties and how this relationship changed over time from 1989 to 2012.</w:t>
      </w:r>
      <w:r w:rsidR="005D5BB5">
        <w:t xml:space="preserve">  </w:t>
      </w:r>
      <w:r w:rsidR="002A6BDF">
        <w:t xml:space="preserve">A report released in 2016 by the Brookings Institution (Holmes and </w:t>
      </w:r>
      <w:proofErr w:type="spellStart"/>
      <w:r w:rsidR="002A6BDF">
        <w:t>Berube</w:t>
      </w:r>
      <w:proofErr w:type="spellEnd"/>
      <w:r w:rsidR="002A6BDF">
        <w:t xml:space="preserve"> (2016)) used ACS data to look at how pre-tax income inequality, measured by the 95-20 ratio, changed from 2007 to 2014 in the 100 largest MSAs and the cities within those MSAs.</w:t>
      </w:r>
      <w:r w:rsidR="001A0660">
        <w:t xml:space="preserve">  </w:t>
      </w:r>
      <w:r w:rsidR="003D29D3">
        <w:tab/>
      </w:r>
    </w:p>
    <w:p w:rsidR="003D29D3" w:rsidRDefault="003D29D3" w:rsidP="005D5BB5">
      <w:pPr>
        <w:spacing w:after="0" w:line="360" w:lineRule="auto"/>
        <w:ind w:firstLine="720"/>
      </w:pPr>
      <w:r>
        <w:t xml:space="preserve">In the table below, some of the recent literature on income inequality over time is summarized in order to quickly compare what has been done in previous literature with what </w:t>
      </w:r>
      <w:r w:rsidR="00AD79D1">
        <w:t>was</w:t>
      </w:r>
      <w:r>
        <w:t xml:space="preserve"> done in this paper.</w:t>
      </w:r>
      <w:r w:rsidR="00AD79D1">
        <w:t xml:space="preserve">  A few differences between previous work and this paper are displayed in the table.  First</w:t>
      </w:r>
      <w:r w:rsidR="008B465D">
        <w:t>,</w:t>
      </w:r>
      <w:r w:rsidR="00AD79D1">
        <w:t xml:space="preserve"> this paper uses a dataset that is not often used for this type of work for a time period which is recent enough to not have been studied well.  Second, this paper uses income after transfer</w:t>
      </w:r>
      <w:r w:rsidR="008B465D">
        <w:t>s</w:t>
      </w:r>
      <w:r w:rsidR="00AD79D1">
        <w:t xml:space="preserve"> are added in and after federal and state taxes are taken into account.  While several papers have taken federal taxes into account, only one other paper to my knowledge has also taken state taxes into account.  Third, most previous work has examined income inequality at the national level.  Fourth, this paper examines income inequality using a significantly wider variety of income inequality metrics than previous research.</w:t>
      </w:r>
    </w:p>
    <w:p w:rsidR="00AD79D1" w:rsidRDefault="00AD79D1" w:rsidP="00A06E7B">
      <w:pPr>
        <w:spacing w:after="0" w:line="360" w:lineRule="auto"/>
      </w:pPr>
    </w:p>
    <w:p w:rsidR="00AD79D1" w:rsidRDefault="00AD79D1" w:rsidP="00A06E7B">
      <w:pPr>
        <w:spacing w:after="0" w:line="360" w:lineRule="auto"/>
      </w:pPr>
    </w:p>
    <w:p w:rsidR="004D5AA6" w:rsidRDefault="004D5AA6" w:rsidP="00A06E7B">
      <w:pPr>
        <w:spacing w:after="0" w:line="360" w:lineRule="auto"/>
      </w:pPr>
    </w:p>
    <w:p w:rsidR="00AD79D1" w:rsidRDefault="00AD79D1" w:rsidP="00A06E7B">
      <w:pPr>
        <w:spacing w:after="0" w:line="360" w:lineRule="auto"/>
      </w:pPr>
    </w:p>
    <w:p w:rsidR="00AD79D1" w:rsidRDefault="00AD79D1" w:rsidP="00A06E7B">
      <w:pPr>
        <w:spacing w:after="0" w:line="360" w:lineRule="auto"/>
      </w:pPr>
    </w:p>
    <w:p w:rsidR="00AD79D1" w:rsidRDefault="00AD79D1" w:rsidP="00A06E7B">
      <w:pPr>
        <w:spacing w:after="0" w:line="360" w:lineRule="auto"/>
      </w:pPr>
    </w:p>
    <w:p w:rsidR="008B465D" w:rsidRDefault="008B465D" w:rsidP="00A06E7B">
      <w:pPr>
        <w:spacing w:after="0" w:line="360" w:lineRule="auto"/>
      </w:pPr>
    </w:p>
    <w:p w:rsidR="00AD79D1" w:rsidRDefault="00AD79D1" w:rsidP="00A06E7B">
      <w:pPr>
        <w:spacing w:after="0" w:line="360" w:lineRule="auto"/>
      </w:pPr>
    </w:p>
    <w:p w:rsidR="00AD79D1" w:rsidRDefault="00AD79D1" w:rsidP="00A06E7B">
      <w:pPr>
        <w:spacing w:after="0" w:line="360" w:lineRule="auto"/>
      </w:pPr>
    </w:p>
    <w:p w:rsidR="00AD79D1" w:rsidRDefault="00AD79D1" w:rsidP="00A06E7B">
      <w:pPr>
        <w:spacing w:after="0" w:line="360" w:lineRule="auto"/>
      </w:pPr>
    </w:p>
    <w:tbl>
      <w:tblPr>
        <w:tblStyle w:val="TableGrid"/>
        <w:tblW w:w="10260" w:type="dxa"/>
        <w:tblInd w:w="-162" w:type="dxa"/>
        <w:tblLook w:val="04A0" w:firstRow="1" w:lastRow="0" w:firstColumn="1" w:lastColumn="0" w:noHBand="0" w:noVBand="1"/>
      </w:tblPr>
      <w:tblGrid>
        <w:gridCol w:w="1776"/>
        <w:gridCol w:w="1134"/>
        <w:gridCol w:w="1232"/>
        <w:gridCol w:w="1953"/>
        <w:gridCol w:w="1630"/>
        <w:gridCol w:w="2535"/>
      </w:tblGrid>
      <w:tr w:rsidR="009477AD" w:rsidTr="004D5AA6">
        <w:tc>
          <w:tcPr>
            <w:tcW w:w="1776" w:type="dxa"/>
          </w:tcPr>
          <w:p w:rsidR="009477AD" w:rsidRPr="0060170C" w:rsidRDefault="009477AD" w:rsidP="0060170C">
            <w:pPr>
              <w:rPr>
                <w:b/>
              </w:rPr>
            </w:pPr>
            <w:r w:rsidRPr="0060170C">
              <w:rPr>
                <w:b/>
              </w:rPr>
              <w:lastRenderedPageBreak/>
              <w:t>Author</w:t>
            </w:r>
            <w:r>
              <w:rPr>
                <w:b/>
              </w:rPr>
              <w:t>s</w:t>
            </w:r>
          </w:p>
        </w:tc>
        <w:tc>
          <w:tcPr>
            <w:tcW w:w="1134" w:type="dxa"/>
          </w:tcPr>
          <w:p w:rsidR="009477AD" w:rsidRPr="0060170C" w:rsidRDefault="009477AD" w:rsidP="0060170C">
            <w:pPr>
              <w:rPr>
                <w:b/>
              </w:rPr>
            </w:pPr>
            <w:r w:rsidRPr="0060170C">
              <w:rPr>
                <w:b/>
              </w:rPr>
              <w:t>Data</w:t>
            </w:r>
          </w:p>
        </w:tc>
        <w:tc>
          <w:tcPr>
            <w:tcW w:w="1232" w:type="dxa"/>
          </w:tcPr>
          <w:p w:rsidR="009477AD" w:rsidRPr="0060170C" w:rsidRDefault="004D5AA6" w:rsidP="0060170C">
            <w:pPr>
              <w:rPr>
                <w:b/>
              </w:rPr>
            </w:pPr>
            <w:r>
              <w:rPr>
                <w:b/>
              </w:rPr>
              <w:t>Years</w:t>
            </w:r>
          </w:p>
        </w:tc>
        <w:tc>
          <w:tcPr>
            <w:tcW w:w="1953" w:type="dxa"/>
          </w:tcPr>
          <w:p w:rsidR="009477AD" w:rsidRPr="0060170C" w:rsidRDefault="009477AD" w:rsidP="00CA54A8">
            <w:pPr>
              <w:jc w:val="center"/>
              <w:rPr>
                <w:b/>
              </w:rPr>
            </w:pPr>
            <w:r>
              <w:rPr>
                <w:b/>
              </w:rPr>
              <w:t>Type of income</w:t>
            </w:r>
          </w:p>
        </w:tc>
        <w:tc>
          <w:tcPr>
            <w:tcW w:w="1630" w:type="dxa"/>
          </w:tcPr>
          <w:p w:rsidR="009477AD" w:rsidRPr="0060170C" w:rsidRDefault="009477AD" w:rsidP="0060170C">
            <w:pPr>
              <w:rPr>
                <w:b/>
              </w:rPr>
            </w:pPr>
            <w:r>
              <w:rPr>
                <w:b/>
              </w:rPr>
              <w:t>Geography</w:t>
            </w:r>
          </w:p>
        </w:tc>
        <w:tc>
          <w:tcPr>
            <w:tcW w:w="2535" w:type="dxa"/>
          </w:tcPr>
          <w:p w:rsidR="009477AD" w:rsidRPr="0060170C" w:rsidRDefault="009477AD" w:rsidP="0060170C">
            <w:pPr>
              <w:rPr>
                <w:b/>
              </w:rPr>
            </w:pPr>
            <w:r w:rsidRPr="0060170C">
              <w:rPr>
                <w:b/>
              </w:rPr>
              <w:t>Income Inequality Metric</w:t>
            </w:r>
          </w:p>
        </w:tc>
      </w:tr>
      <w:tr w:rsidR="009477AD" w:rsidTr="004D5AA6">
        <w:tc>
          <w:tcPr>
            <w:tcW w:w="10260" w:type="dxa"/>
            <w:gridSpan w:val="6"/>
          </w:tcPr>
          <w:p w:rsidR="009477AD" w:rsidRPr="00017BC8" w:rsidRDefault="009477AD" w:rsidP="00017BC8">
            <w:pPr>
              <w:jc w:val="center"/>
              <w:rPr>
                <w:b/>
              </w:rPr>
            </w:pPr>
            <w:r w:rsidRPr="00017BC8">
              <w:rPr>
                <w:b/>
              </w:rPr>
              <w:t>Previous Research</w:t>
            </w:r>
          </w:p>
        </w:tc>
      </w:tr>
      <w:tr w:rsidR="009477AD" w:rsidTr="004D5AA6">
        <w:tc>
          <w:tcPr>
            <w:tcW w:w="1776" w:type="dxa"/>
          </w:tcPr>
          <w:p w:rsidR="009477AD" w:rsidRDefault="00784AEF" w:rsidP="0060170C">
            <w:r>
              <w:t xml:space="preserve">Piketty and </w:t>
            </w:r>
            <w:proofErr w:type="spellStart"/>
            <w:r>
              <w:t>Saez</w:t>
            </w:r>
            <w:proofErr w:type="spellEnd"/>
            <w:r>
              <w:t xml:space="preserve"> (200</w:t>
            </w:r>
            <w:r w:rsidR="009477AD">
              <w:t>3)</w:t>
            </w:r>
          </w:p>
        </w:tc>
        <w:tc>
          <w:tcPr>
            <w:tcW w:w="1134" w:type="dxa"/>
          </w:tcPr>
          <w:p w:rsidR="009477AD" w:rsidRDefault="009477AD" w:rsidP="0060170C">
            <w:r>
              <w:t>IRS tax data</w:t>
            </w:r>
          </w:p>
        </w:tc>
        <w:tc>
          <w:tcPr>
            <w:tcW w:w="1232" w:type="dxa"/>
          </w:tcPr>
          <w:p w:rsidR="009477AD" w:rsidRDefault="009477AD" w:rsidP="0060170C">
            <w:r>
              <w:t>1913-present</w:t>
            </w:r>
          </w:p>
        </w:tc>
        <w:tc>
          <w:tcPr>
            <w:tcW w:w="1953" w:type="dxa"/>
          </w:tcPr>
          <w:p w:rsidR="009477AD" w:rsidRDefault="009477AD" w:rsidP="0060170C">
            <w:r>
              <w:t>Pre-tax income for tax-unit</w:t>
            </w:r>
          </w:p>
        </w:tc>
        <w:tc>
          <w:tcPr>
            <w:tcW w:w="1630" w:type="dxa"/>
          </w:tcPr>
          <w:p w:rsidR="009477AD" w:rsidRDefault="00A356C9" w:rsidP="0060170C">
            <w:r>
              <w:t>Nation</w:t>
            </w:r>
          </w:p>
        </w:tc>
        <w:tc>
          <w:tcPr>
            <w:tcW w:w="2535" w:type="dxa"/>
          </w:tcPr>
          <w:p w:rsidR="009477AD" w:rsidRDefault="009477AD" w:rsidP="0060170C">
            <w:r>
              <w:t>Top decile income shares</w:t>
            </w:r>
          </w:p>
        </w:tc>
      </w:tr>
      <w:tr w:rsidR="009477AD" w:rsidTr="004D5AA6">
        <w:tc>
          <w:tcPr>
            <w:tcW w:w="1776" w:type="dxa"/>
          </w:tcPr>
          <w:p w:rsidR="009477AD" w:rsidRDefault="009477AD" w:rsidP="0060170C">
            <w:r>
              <w:t>CBO (2011)</w:t>
            </w:r>
          </w:p>
        </w:tc>
        <w:tc>
          <w:tcPr>
            <w:tcW w:w="1134" w:type="dxa"/>
          </w:tcPr>
          <w:p w:rsidR="009477AD" w:rsidRDefault="009477AD" w:rsidP="0060170C">
            <w:r>
              <w:t>IRS tax data, CPS</w:t>
            </w:r>
          </w:p>
        </w:tc>
        <w:tc>
          <w:tcPr>
            <w:tcW w:w="1232" w:type="dxa"/>
          </w:tcPr>
          <w:p w:rsidR="009477AD" w:rsidRDefault="009477AD" w:rsidP="0060170C">
            <w:r>
              <w:t>1979-2007</w:t>
            </w:r>
          </w:p>
        </w:tc>
        <w:tc>
          <w:tcPr>
            <w:tcW w:w="1953" w:type="dxa"/>
          </w:tcPr>
          <w:p w:rsidR="009477AD" w:rsidRDefault="004D5AA6" w:rsidP="00A952B7">
            <w:r>
              <w:t xml:space="preserve">Pre-tax, Pre-transfer and </w:t>
            </w:r>
            <w:r w:rsidR="009477AD">
              <w:t xml:space="preserve">After-tax, after transfer </w:t>
            </w:r>
          </w:p>
          <w:p w:rsidR="009477AD" w:rsidRDefault="009477AD" w:rsidP="00A952B7">
            <w:r>
              <w:t>(only federal taxes)</w:t>
            </w:r>
          </w:p>
        </w:tc>
        <w:tc>
          <w:tcPr>
            <w:tcW w:w="1630" w:type="dxa"/>
          </w:tcPr>
          <w:p w:rsidR="009477AD" w:rsidRDefault="00A356C9" w:rsidP="0060170C">
            <w:r>
              <w:t>Nation</w:t>
            </w:r>
          </w:p>
        </w:tc>
        <w:tc>
          <w:tcPr>
            <w:tcW w:w="2535" w:type="dxa"/>
          </w:tcPr>
          <w:p w:rsidR="009477AD" w:rsidRDefault="009477AD" w:rsidP="0060170C">
            <w:r>
              <w:t>Gini Index</w:t>
            </w:r>
          </w:p>
          <w:p w:rsidR="009477AD" w:rsidRDefault="009477AD" w:rsidP="0060170C">
            <w:r>
              <w:t>Quintile income shares</w:t>
            </w:r>
          </w:p>
        </w:tc>
      </w:tr>
      <w:tr w:rsidR="009477AD" w:rsidTr="004D5AA6">
        <w:tc>
          <w:tcPr>
            <w:tcW w:w="1776" w:type="dxa"/>
          </w:tcPr>
          <w:p w:rsidR="009477AD" w:rsidRDefault="009477AD" w:rsidP="0060170C">
            <w:proofErr w:type="spellStart"/>
            <w:r>
              <w:t>Burkhauser</w:t>
            </w:r>
            <w:proofErr w:type="spellEnd"/>
            <w:r>
              <w:t xml:space="preserve"> (2011)</w:t>
            </w:r>
          </w:p>
        </w:tc>
        <w:tc>
          <w:tcPr>
            <w:tcW w:w="1134" w:type="dxa"/>
          </w:tcPr>
          <w:p w:rsidR="009477AD" w:rsidRDefault="009477AD" w:rsidP="0060170C">
            <w:r>
              <w:t>CPS</w:t>
            </w:r>
          </w:p>
          <w:p w:rsidR="009477AD" w:rsidRDefault="009477AD" w:rsidP="0060170C">
            <w:r>
              <w:t>(internal Census)</w:t>
            </w:r>
          </w:p>
        </w:tc>
        <w:tc>
          <w:tcPr>
            <w:tcW w:w="1232" w:type="dxa"/>
          </w:tcPr>
          <w:p w:rsidR="009477AD" w:rsidRDefault="009477AD" w:rsidP="0060170C">
            <w:r>
              <w:t>1975-2004</w:t>
            </w:r>
          </w:p>
        </w:tc>
        <w:tc>
          <w:tcPr>
            <w:tcW w:w="1953" w:type="dxa"/>
          </w:tcPr>
          <w:p w:rsidR="009477AD" w:rsidRDefault="009477AD" w:rsidP="0060170C">
            <w:r>
              <w:t>Pre-tax, after-transfer</w:t>
            </w:r>
          </w:p>
        </w:tc>
        <w:tc>
          <w:tcPr>
            <w:tcW w:w="1630" w:type="dxa"/>
          </w:tcPr>
          <w:p w:rsidR="009477AD" w:rsidRDefault="00A356C9" w:rsidP="0060170C">
            <w:r>
              <w:t>Nation</w:t>
            </w:r>
          </w:p>
        </w:tc>
        <w:tc>
          <w:tcPr>
            <w:tcW w:w="2535" w:type="dxa"/>
          </w:tcPr>
          <w:p w:rsidR="009477AD" w:rsidRDefault="009477AD" w:rsidP="0060170C">
            <w:r>
              <w:t>Gini</w:t>
            </w:r>
            <w:r w:rsidR="003D29D3">
              <w:t xml:space="preserve"> Index</w:t>
            </w:r>
          </w:p>
        </w:tc>
      </w:tr>
      <w:tr w:rsidR="009477AD" w:rsidTr="004D5AA6">
        <w:tc>
          <w:tcPr>
            <w:tcW w:w="1776" w:type="dxa"/>
          </w:tcPr>
          <w:p w:rsidR="009477AD" w:rsidRDefault="009477AD" w:rsidP="0060170C">
            <w:proofErr w:type="spellStart"/>
            <w:r>
              <w:t>Gindelsky</w:t>
            </w:r>
            <w:proofErr w:type="spellEnd"/>
            <w:r>
              <w:t xml:space="preserve"> (2015)</w:t>
            </w:r>
          </w:p>
        </w:tc>
        <w:tc>
          <w:tcPr>
            <w:tcW w:w="1134" w:type="dxa"/>
          </w:tcPr>
          <w:p w:rsidR="009477AD" w:rsidRDefault="009477AD" w:rsidP="0060170C">
            <w:r>
              <w:t>CPS</w:t>
            </w:r>
          </w:p>
        </w:tc>
        <w:tc>
          <w:tcPr>
            <w:tcW w:w="1232" w:type="dxa"/>
          </w:tcPr>
          <w:p w:rsidR="009477AD" w:rsidRDefault="009477AD" w:rsidP="0060170C">
            <w:r>
              <w:t>1975-2014</w:t>
            </w:r>
          </w:p>
        </w:tc>
        <w:tc>
          <w:tcPr>
            <w:tcW w:w="1953" w:type="dxa"/>
          </w:tcPr>
          <w:p w:rsidR="009477AD" w:rsidRDefault="009477AD" w:rsidP="0060170C">
            <w:r>
              <w:t>Pre-tax, pre-transfer income (households and individuals)</w:t>
            </w:r>
          </w:p>
        </w:tc>
        <w:tc>
          <w:tcPr>
            <w:tcW w:w="1630" w:type="dxa"/>
          </w:tcPr>
          <w:p w:rsidR="009477AD" w:rsidRDefault="00A356C9" w:rsidP="0060170C">
            <w:r>
              <w:t>Nation</w:t>
            </w:r>
          </w:p>
        </w:tc>
        <w:tc>
          <w:tcPr>
            <w:tcW w:w="2535" w:type="dxa"/>
          </w:tcPr>
          <w:p w:rsidR="009477AD" w:rsidRDefault="009477AD" w:rsidP="0060170C">
            <w:r>
              <w:t>Top 1% income share</w:t>
            </w:r>
          </w:p>
          <w:p w:rsidR="009477AD" w:rsidRDefault="009477AD" w:rsidP="0060170C">
            <w:r>
              <w:t>Top 0.1% income share</w:t>
            </w:r>
          </w:p>
          <w:p w:rsidR="009477AD" w:rsidRDefault="009477AD" w:rsidP="0060170C">
            <w:r>
              <w:t>Gini Index</w:t>
            </w:r>
          </w:p>
          <w:p w:rsidR="009477AD" w:rsidRDefault="009477AD" w:rsidP="0060170C">
            <w:r>
              <w:t>Gini Index of Top 1%</w:t>
            </w:r>
          </w:p>
        </w:tc>
      </w:tr>
      <w:tr w:rsidR="009477AD" w:rsidTr="004D5AA6">
        <w:tc>
          <w:tcPr>
            <w:tcW w:w="1776" w:type="dxa"/>
          </w:tcPr>
          <w:p w:rsidR="009477AD" w:rsidRDefault="009477AD" w:rsidP="0060170C">
            <w:r>
              <w:t>Meyer and Sullivan (2013)</w:t>
            </w:r>
          </w:p>
        </w:tc>
        <w:tc>
          <w:tcPr>
            <w:tcW w:w="1134" w:type="dxa"/>
          </w:tcPr>
          <w:p w:rsidR="009477AD" w:rsidRDefault="009477AD" w:rsidP="0060170C">
            <w:r>
              <w:t>CPS</w:t>
            </w:r>
          </w:p>
        </w:tc>
        <w:tc>
          <w:tcPr>
            <w:tcW w:w="1232" w:type="dxa"/>
          </w:tcPr>
          <w:p w:rsidR="009477AD" w:rsidRDefault="009477AD" w:rsidP="0060170C">
            <w:r>
              <w:t>1963-2011</w:t>
            </w:r>
          </w:p>
        </w:tc>
        <w:tc>
          <w:tcPr>
            <w:tcW w:w="1953" w:type="dxa"/>
          </w:tcPr>
          <w:p w:rsidR="009477AD" w:rsidRDefault="004D5AA6" w:rsidP="0060170C">
            <w:r>
              <w:t xml:space="preserve">Pre-tax, Pre-transfer and </w:t>
            </w:r>
            <w:r w:rsidR="009477AD">
              <w:t xml:space="preserve">After-tax, after-transfer </w:t>
            </w:r>
          </w:p>
          <w:p w:rsidR="009477AD" w:rsidRDefault="009477AD" w:rsidP="0060170C">
            <w:r>
              <w:t>(state and federal taxes)</w:t>
            </w:r>
          </w:p>
        </w:tc>
        <w:tc>
          <w:tcPr>
            <w:tcW w:w="1630" w:type="dxa"/>
          </w:tcPr>
          <w:p w:rsidR="009477AD" w:rsidRDefault="00A356C9" w:rsidP="0060170C">
            <w:r>
              <w:t>Nation</w:t>
            </w:r>
          </w:p>
        </w:tc>
        <w:tc>
          <w:tcPr>
            <w:tcW w:w="2535" w:type="dxa"/>
          </w:tcPr>
          <w:p w:rsidR="009477AD" w:rsidRDefault="00AD79D1" w:rsidP="0060170C">
            <w:r>
              <w:t xml:space="preserve">90-10 Ratio, 90-50 Ratio, </w:t>
            </w:r>
            <w:r w:rsidR="009477AD">
              <w:t>50-10 Ratio</w:t>
            </w:r>
          </w:p>
        </w:tc>
      </w:tr>
      <w:tr w:rsidR="009477AD" w:rsidTr="004D5AA6">
        <w:tc>
          <w:tcPr>
            <w:tcW w:w="1776" w:type="dxa"/>
          </w:tcPr>
          <w:p w:rsidR="009477AD" w:rsidRDefault="009477AD" w:rsidP="0060170C">
            <w:r>
              <w:t xml:space="preserve">Heathcote, </w:t>
            </w:r>
            <w:proofErr w:type="spellStart"/>
            <w:r>
              <w:t>Perri</w:t>
            </w:r>
            <w:proofErr w:type="spellEnd"/>
            <w:r>
              <w:t xml:space="preserve">, and </w:t>
            </w:r>
            <w:proofErr w:type="spellStart"/>
            <w:r>
              <w:t>Violante</w:t>
            </w:r>
            <w:proofErr w:type="spellEnd"/>
            <w:r>
              <w:t xml:space="preserve"> (2009)</w:t>
            </w:r>
          </w:p>
        </w:tc>
        <w:tc>
          <w:tcPr>
            <w:tcW w:w="1134" w:type="dxa"/>
          </w:tcPr>
          <w:p w:rsidR="009477AD" w:rsidRDefault="009477AD" w:rsidP="0060170C">
            <w:r>
              <w:t>CPS</w:t>
            </w:r>
          </w:p>
        </w:tc>
        <w:tc>
          <w:tcPr>
            <w:tcW w:w="1232" w:type="dxa"/>
          </w:tcPr>
          <w:p w:rsidR="009477AD" w:rsidRDefault="009477AD" w:rsidP="0060170C">
            <w:r>
              <w:t>1965-2005</w:t>
            </w:r>
          </w:p>
        </w:tc>
        <w:tc>
          <w:tcPr>
            <w:tcW w:w="1953" w:type="dxa"/>
          </w:tcPr>
          <w:p w:rsidR="009477AD" w:rsidRDefault="004D5AA6" w:rsidP="0060170C">
            <w:r>
              <w:t xml:space="preserve">Pre-tax, Pre-transfer and </w:t>
            </w:r>
            <w:r w:rsidR="009477AD">
              <w:t>After-tax, after-transfer</w:t>
            </w:r>
          </w:p>
          <w:p w:rsidR="009477AD" w:rsidRDefault="009477AD" w:rsidP="0060170C">
            <w:r>
              <w:t>(only federal taxes)</w:t>
            </w:r>
          </w:p>
        </w:tc>
        <w:tc>
          <w:tcPr>
            <w:tcW w:w="1630" w:type="dxa"/>
          </w:tcPr>
          <w:p w:rsidR="009477AD" w:rsidRDefault="00A356C9" w:rsidP="0060170C">
            <w:r>
              <w:t>Nation</w:t>
            </w:r>
          </w:p>
        </w:tc>
        <w:tc>
          <w:tcPr>
            <w:tcW w:w="2535" w:type="dxa"/>
          </w:tcPr>
          <w:p w:rsidR="009477AD" w:rsidRDefault="00AD79D1" w:rsidP="0060170C">
            <w:r>
              <w:t xml:space="preserve">Variance of Log, </w:t>
            </w:r>
            <w:r w:rsidR="009477AD">
              <w:t>Gini Index</w:t>
            </w:r>
            <w:r>
              <w:t xml:space="preserve">, 50-10 Ratio, </w:t>
            </w:r>
            <w:r w:rsidR="009477AD">
              <w:t>90-50 Ratio</w:t>
            </w:r>
          </w:p>
        </w:tc>
      </w:tr>
      <w:tr w:rsidR="009477AD" w:rsidTr="004D5AA6">
        <w:tc>
          <w:tcPr>
            <w:tcW w:w="1776" w:type="dxa"/>
          </w:tcPr>
          <w:p w:rsidR="009477AD" w:rsidRDefault="009477AD" w:rsidP="0060170C">
            <w:r>
              <w:t>McNichol et al. (2012)</w:t>
            </w:r>
          </w:p>
        </w:tc>
        <w:tc>
          <w:tcPr>
            <w:tcW w:w="1134" w:type="dxa"/>
          </w:tcPr>
          <w:p w:rsidR="009477AD" w:rsidRDefault="009477AD" w:rsidP="0060170C">
            <w:r>
              <w:t>CPS</w:t>
            </w:r>
          </w:p>
        </w:tc>
        <w:tc>
          <w:tcPr>
            <w:tcW w:w="1232" w:type="dxa"/>
          </w:tcPr>
          <w:p w:rsidR="009477AD" w:rsidRDefault="009477AD" w:rsidP="0060170C">
            <w:r>
              <w:t>1977-2010</w:t>
            </w:r>
          </w:p>
        </w:tc>
        <w:tc>
          <w:tcPr>
            <w:tcW w:w="1953" w:type="dxa"/>
          </w:tcPr>
          <w:p w:rsidR="009477AD" w:rsidRDefault="004D5AA6" w:rsidP="003B5924">
            <w:r>
              <w:t xml:space="preserve">Pre-tax, Pre-transfer and </w:t>
            </w:r>
            <w:r w:rsidR="009477AD">
              <w:t>After-tax, after-transfer</w:t>
            </w:r>
          </w:p>
          <w:p w:rsidR="009477AD" w:rsidRDefault="009477AD" w:rsidP="003B5924">
            <w:r>
              <w:t>(only federal taxes)</w:t>
            </w:r>
          </w:p>
        </w:tc>
        <w:tc>
          <w:tcPr>
            <w:tcW w:w="1630" w:type="dxa"/>
          </w:tcPr>
          <w:p w:rsidR="009477AD" w:rsidRDefault="00A356C9" w:rsidP="0060170C">
            <w:r>
              <w:t>Nation</w:t>
            </w:r>
          </w:p>
        </w:tc>
        <w:tc>
          <w:tcPr>
            <w:tcW w:w="2535" w:type="dxa"/>
          </w:tcPr>
          <w:p w:rsidR="009477AD" w:rsidRDefault="00AD79D1" w:rsidP="003B5924">
            <w:r>
              <w:t xml:space="preserve">80-20 Ratio, 95-20 Ratio, 90-50 Ratio, </w:t>
            </w:r>
            <w:r w:rsidR="009477AD">
              <w:t>95-50 Ratio</w:t>
            </w:r>
          </w:p>
        </w:tc>
      </w:tr>
      <w:tr w:rsidR="009477AD" w:rsidTr="004D5AA6">
        <w:tc>
          <w:tcPr>
            <w:tcW w:w="1776" w:type="dxa"/>
          </w:tcPr>
          <w:p w:rsidR="009477AD" w:rsidRDefault="009477AD" w:rsidP="0060170C">
            <w:r>
              <w:t xml:space="preserve">Gottschalk and </w:t>
            </w:r>
            <w:proofErr w:type="spellStart"/>
            <w:r>
              <w:t>Danziger</w:t>
            </w:r>
            <w:proofErr w:type="spellEnd"/>
            <w:r>
              <w:t xml:space="preserve"> (2005)</w:t>
            </w:r>
          </w:p>
        </w:tc>
        <w:tc>
          <w:tcPr>
            <w:tcW w:w="1134" w:type="dxa"/>
          </w:tcPr>
          <w:p w:rsidR="009477AD" w:rsidRDefault="009477AD" w:rsidP="0060170C">
            <w:r>
              <w:t>CPS</w:t>
            </w:r>
          </w:p>
          <w:p w:rsidR="009477AD" w:rsidRDefault="009477AD" w:rsidP="0060170C"/>
        </w:tc>
        <w:tc>
          <w:tcPr>
            <w:tcW w:w="1232" w:type="dxa"/>
          </w:tcPr>
          <w:p w:rsidR="009477AD" w:rsidRDefault="009477AD" w:rsidP="0060170C">
            <w:r>
              <w:t>1975-2002</w:t>
            </w:r>
          </w:p>
        </w:tc>
        <w:tc>
          <w:tcPr>
            <w:tcW w:w="1953" w:type="dxa"/>
          </w:tcPr>
          <w:p w:rsidR="009477AD" w:rsidRDefault="009477AD" w:rsidP="0060170C">
            <w:r>
              <w:t>Pre-tax, pre-transfer income</w:t>
            </w:r>
          </w:p>
        </w:tc>
        <w:tc>
          <w:tcPr>
            <w:tcW w:w="1630" w:type="dxa"/>
          </w:tcPr>
          <w:p w:rsidR="009477AD" w:rsidRDefault="00A356C9" w:rsidP="0060170C">
            <w:r>
              <w:t>Nation</w:t>
            </w:r>
          </w:p>
        </w:tc>
        <w:tc>
          <w:tcPr>
            <w:tcW w:w="2535" w:type="dxa"/>
          </w:tcPr>
          <w:p w:rsidR="009477AD" w:rsidRDefault="009477AD" w:rsidP="0060170C">
            <w:r>
              <w:t>90-10 Ratio</w:t>
            </w:r>
          </w:p>
          <w:p w:rsidR="009477AD" w:rsidRDefault="009477AD" w:rsidP="0060170C"/>
        </w:tc>
      </w:tr>
      <w:tr w:rsidR="009477AD" w:rsidTr="004D5AA6">
        <w:tc>
          <w:tcPr>
            <w:tcW w:w="1776" w:type="dxa"/>
          </w:tcPr>
          <w:p w:rsidR="009477AD" w:rsidRDefault="009477AD" w:rsidP="0060170C">
            <w:r>
              <w:t>Cunningham (2015)</w:t>
            </w:r>
          </w:p>
        </w:tc>
        <w:tc>
          <w:tcPr>
            <w:tcW w:w="1134" w:type="dxa"/>
          </w:tcPr>
          <w:p w:rsidR="009477AD" w:rsidRDefault="009477AD" w:rsidP="0060170C">
            <w:r>
              <w:t>OES</w:t>
            </w:r>
          </w:p>
        </w:tc>
        <w:tc>
          <w:tcPr>
            <w:tcW w:w="1232" w:type="dxa"/>
          </w:tcPr>
          <w:p w:rsidR="009477AD" w:rsidRDefault="009477AD" w:rsidP="0060170C">
            <w:r>
              <w:t>2003-2013</w:t>
            </w:r>
          </w:p>
        </w:tc>
        <w:tc>
          <w:tcPr>
            <w:tcW w:w="1953" w:type="dxa"/>
          </w:tcPr>
          <w:p w:rsidR="009477AD" w:rsidRDefault="009477AD" w:rsidP="0060170C">
            <w:r>
              <w:t>Wages</w:t>
            </w:r>
          </w:p>
        </w:tc>
        <w:tc>
          <w:tcPr>
            <w:tcW w:w="1630" w:type="dxa"/>
          </w:tcPr>
          <w:p w:rsidR="009477AD" w:rsidRDefault="009477AD" w:rsidP="0060170C">
            <w:r>
              <w:t>MSA</w:t>
            </w:r>
          </w:p>
        </w:tc>
        <w:tc>
          <w:tcPr>
            <w:tcW w:w="2535" w:type="dxa"/>
          </w:tcPr>
          <w:p w:rsidR="009477AD" w:rsidRDefault="009477AD" w:rsidP="0060170C">
            <w:r>
              <w:t>90-10 Ratio</w:t>
            </w:r>
          </w:p>
        </w:tc>
      </w:tr>
      <w:tr w:rsidR="009477AD" w:rsidTr="004D5AA6">
        <w:tc>
          <w:tcPr>
            <w:tcW w:w="1776" w:type="dxa"/>
          </w:tcPr>
          <w:p w:rsidR="009477AD" w:rsidRDefault="009477AD" w:rsidP="0060170C">
            <w:r>
              <w:t>Weinberg (2011)</w:t>
            </w:r>
          </w:p>
        </w:tc>
        <w:tc>
          <w:tcPr>
            <w:tcW w:w="1134" w:type="dxa"/>
          </w:tcPr>
          <w:p w:rsidR="009477AD" w:rsidRDefault="009477AD" w:rsidP="003D29D3">
            <w:r>
              <w:t>5</w:t>
            </w:r>
            <w:r w:rsidR="003D29D3">
              <w:t>-</w:t>
            </w:r>
            <w:r>
              <w:t>year ACS</w:t>
            </w:r>
          </w:p>
        </w:tc>
        <w:tc>
          <w:tcPr>
            <w:tcW w:w="1232" w:type="dxa"/>
          </w:tcPr>
          <w:p w:rsidR="009477AD" w:rsidRDefault="009477AD" w:rsidP="0060170C">
            <w:r>
              <w:t>2005-2009</w:t>
            </w:r>
          </w:p>
        </w:tc>
        <w:tc>
          <w:tcPr>
            <w:tcW w:w="1953" w:type="dxa"/>
          </w:tcPr>
          <w:p w:rsidR="009477AD" w:rsidRDefault="009477AD" w:rsidP="0060170C">
            <w:r>
              <w:t>Pre-tax, after-transfer</w:t>
            </w:r>
          </w:p>
        </w:tc>
        <w:tc>
          <w:tcPr>
            <w:tcW w:w="1630" w:type="dxa"/>
          </w:tcPr>
          <w:p w:rsidR="009477AD" w:rsidRDefault="00A356C9" w:rsidP="00A356C9">
            <w:r>
              <w:t>Nation</w:t>
            </w:r>
            <w:r w:rsidR="009477AD">
              <w:t>, State, and MSAs with pop &gt;1 million</w:t>
            </w:r>
          </w:p>
        </w:tc>
        <w:tc>
          <w:tcPr>
            <w:tcW w:w="2535" w:type="dxa"/>
          </w:tcPr>
          <w:p w:rsidR="009477AD" w:rsidRDefault="00AD79D1" w:rsidP="0060170C">
            <w:r>
              <w:t xml:space="preserve">Gini Index, 90-10 Ratio, </w:t>
            </w:r>
            <w:r w:rsidR="009477AD">
              <w:t>95 -20 Ratio</w:t>
            </w:r>
          </w:p>
        </w:tc>
      </w:tr>
      <w:tr w:rsidR="008B465D" w:rsidTr="004D5AA6">
        <w:tc>
          <w:tcPr>
            <w:tcW w:w="1776" w:type="dxa"/>
          </w:tcPr>
          <w:p w:rsidR="008B465D" w:rsidRDefault="008B465D" w:rsidP="0060170C">
            <w:r>
              <w:t xml:space="preserve">Mather and </w:t>
            </w:r>
            <w:proofErr w:type="spellStart"/>
            <w:r>
              <w:t>Jarosz</w:t>
            </w:r>
            <w:proofErr w:type="spellEnd"/>
            <w:r>
              <w:t xml:space="preserve"> (2014)</w:t>
            </w:r>
          </w:p>
        </w:tc>
        <w:tc>
          <w:tcPr>
            <w:tcW w:w="1134" w:type="dxa"/>
          </w:tcPr>
          <w:p w:rsidR="008B465D" w:rsidRDefault="008B465D" w:rsidP="005D5BB5">
            <w:r>
              <w:t>Decennial Census, 5-year ACS</w:t>
            </w:r>
          </w:p>
        </w:tc>
        <w:tc>
          <w:tcPr>
            <w:tcW w:w="1232" w:type="dxa"/>
          </w:tcPr>
          <w:p w:rsidR="008B465D" w:rsidRDefault="008B465D" w:rsidP="0060170C">
            <w:r>
              <w:t>1989-2012</w:t>
            </w:r>
          </w:p>
        </w:tc>
        <w:tc>
          <w:tcPr>
            <w:tcW w:w="1953" w:type="dxa"/>
          </w:tcPr>
          <w:p w:rsidR="008B465D" w:rsidRDefault="008B465D" w:rsidP="006C1A16">
            <w:r>
              <w:t>Pre-tax, after-transfer</w:t>
            </w:r>
          </w:p>
        </w:tc>
        <w:tc>
          <w:tcPr>
            <w:tcW w:w="1630" w:type="dxa"/>
          </w:tcPr>
          <w:p w:rsidR="008B465D" w:rsidRDefault="008B465D" w:rsidP="0060170C">
            <w:r>
              <w:t>Counties</w:t>
            </w:r>
          </w:p>
        </w:tc>
        <w:tc>
          <w:tcPr>
            <w:tcW w:w="2535" w:type="dxa"/>
          </w:tcPr>
          <w:p w:rsidR="008B465D" w:rsidRDefault="008B465D" w:rsidP="0060170C">
            <w:r>
              <w:t>Gini Index</w:t>
            </w:r>
          </w:p>
        </w:tc>
      </w:tr>
      <w:tr w:rsidR="008B465D" w:rsidTr="004D5AA6">
        <w:tc>
          <w:tcPr>
            <w:tcW w:w="1776" w:type="dxa"/>
          </w:tcPr>
          <w:p w:rsidR="008B465D" w:rsidRDefault="008B465D" w:rsidP="0060170C">
            <w:r>
              <w:t xml:space="preserve">Holmes and </w:t>
            </w:r>
            <w:proofErr w:type="spellStart"/>
            <w:r>
              <w:t>Berube</w:t>
            </w:r>
            <w:proofErr w:type="spellEnd"/>
            <w:r>
              <w:t xml:space="preserve"> (2016)</w:t>
            </w:r>
          </w:p>
        </w:tc>
        <w:tc>
          <w:tcPr>
            <w:tcW w:w="1134" w:type="dxa"/>
          </w:tcPr>
          <w:p w:rsidR="008B465D" w:rsidRDefault="008B465D" w:rsidP="0060170C">
            <w:r>
              <w:t>1-year ACS</w:t>
            </w:r>
          </w:p>
        </w:tc>
        <w:tc>
          <w:tcPr>
            <w:tcW w:w="1232" w:type="dxa"/>
          </w:tcPr>
          <w:p w:rsidR="008B465D" w:rsidRDefault="008B465D" w:rsidP="0060170C">
            <w:r>
              <w:t>2007-2014</w:t>
            </w:r>
          </w:p>
        </w:tc>
        <w:tc>
          <w:tcPr>
            <w:tcW w:w="1953" w:type="dxa"/>
          </w:tcPr>
          <w:p w:rsidR="008B465D" w:rsidRDefault="008B465D" w:rsidP="0060170C">
            <w:r>
              <w:t>Pre-tax, after-transfer</w:t>
            </w:r>
          </w:p>
        </w:tc>
        <w:tc>
          <w:tcPr>
            <w:tcW w:w="1630" w:type="dxa"/>
          </w:tcPr>
          <w:p w:rsidR="008B465D" w:rsidRDefault="008B465D" w:rsidP="0060170C">
            <w:r>
              <w:t>100 most populous MSAs</w:t>
            </w:r>
          </w:p>
        </w:tc>
        <w:tc>
          <w:tcPr>
            <w:tcW w:w="2535" w:type="dxa"/>
          </w:tcPr>
          <w:p w:rsidR="008B465D" w:rsidRDefault="008B465D" w:rsidP="0060170C">
            <w:r>
              <w:t>95-20 Ratio</w:t>
            </w:r>
          </w:p>
        </w:tc>
      </w:tr>
      <w:tr w:rsidR="008B465D" w:rsidTr="004D5AA6">
        <w:tc>
          <w:tcPr>
            <w:tcW w:w="10260" w:type="dxa"/>
            <w:gridSpan w:val="6"/>
          </w:tcPr>
          <w:p w:rsidR="008B465D" w:rsidRPr="00017BC8" w:rsidRDefault="008B465D" w:rsidP="00017BC8">
            <w:pPr>
              <w:jc w:val="center"/>
              <w:rPr>
                <w:b/>
              </w:rPr>
            </w:pPr>
            <w:r>
              <w:rPr>
                <w:b/>
              </w:rPr>
              <w:t>Current paper</w:t>
            </w:r>
          </w:p>
        </w:tc>
      </w:tr>
      <w:tr w:rsidR="008B465D" w:rsidTr="004D5AA6">
        <w:tc>
          <w:tcPr>
            <w:tcW w:w="1776" w:type="dxa"/>
          </w:tcPr>
          <w:p w:rsidR="008B465D" w:rsidRDefault="008B465D" w:rsidP="0060170C">
            <w:r>
              <w:t>Glassman (2016)</w:t>
            </w:r>
          </w:p>
        </w:tc>
        <w:tc>
          <w:tcPr>
            <w:tcW w:w="1134" w:type="dxa"/>
          </w:tcPr>
          <w:p w:rsidR="008B465D" w:rsidRDefault="008B465D" w:rsidP="0060170C">
            <w:r>
              <w:t>1-year ACS</w:t>
            </w:r>
          </w:p>
          <w:p w:rsidR="008B465D" w:rsidRDefault="008B465D" w:rsidP="0060170C">
            <w:r>
              <w:t>(internal Census)</w:t>
            </w:r>
          </w:p>
        </w:tc>
        <w:tc>
          <w:tcPr>
            <w:tcW w:w="1232" w:type="dxa"/>
          </w:tcPr>
          <w:p w:rsidR="008B465D" w:rsidRDefault="008B465D" w:rsidP="0060170C">
            <w:r>
              <w:t>2005-2015</w:t>
            </w:r>
          </w:p>
        </w:tc>
        <w:tc>
          <w:tcPr>
            <w:tcW w:w="1953" w:type="dxa"/>
          </w:tcPr>
          <w:p w:rsidR="008B465D" w:rsidRDefault="004D5AA6" w:rsidP="0060170C">
            <w:r>
              <w:t xml:space="preserve">Pre-tax, Pre-transfer and </w:t>
            </w:r>
            <w:r w:rsidR="008B465D">
              <w:t>After-tax, After-transfer</w:t>
            </w:r>
          </w:p>
          <w:p w:rsidR="008B465D" w:rsidRDefault="008B465D" w:rsidP="0060170C">
            <w:r>
              <w:t>(state and federal taxes)</w:t>
            </w:r>
          </w:p>
        </w:tc>
        <w:tc>
          <w:tcPr>
            <w:tcW w:w="1630" w:type="dxa"/>
          </w:tcPr>
          <w:p w:rsidR="008B465D" w:rsidRDefault="00A356C9" w:rsidP="00A952B7">
            <w:r>
              <w:t>Nation</w:t>
            </w:r>
            <w:r w:rsidR="008B465D">
              <w:t>, MSA</w:t>
            </w:r>
          </w:p>
        </w:tc>
        <w:tc>
          <w:tcPr>
            <w:tcW w:w="2535" w:type="dxa"/>
          </w:tcPr>
          <w:p w:rsidR="008B465D" w:rsidRDefault="008B465D" w:rsidP="00A952B7">
            <w:r>
              <w:t>Quintile income shares, Gini Index, Theil Index, MLD, Palma Ratio, 80-20 Ratio, 90-10 Ratio, 50-10 Ratio, 90-50 Ratio, 99-90 Ratio</w:t>
            </w:r>
          </w:p>
        </w:tc>
      </w:tr>
    </w:tbl>
    <w:p w:rsidR="002C6482" w:rsidRDefault="002C6482" w:rsidP="006C1A16">
      <w:pPr>
        <w:spacing w:line="360" w:lineRule="auto"/>
        <w:rPr>
          <w:rFonts w:ascii="Calibri" w:eastAsia="Times New Roman" w:hAnsi="Calibri" w:cs="Times New Roman"/>
          <w:b/>
          <w:color w:val="000000"/>
        </w:rPr>
      </w:pPr>
      <w:r>
        <w:rPr>
          <w:rFonts w:ascii="Calibri" w:eastAsia="Times New Roman" w:hAnsi="Calibri" w:cs="Times New Roman"/>
          <w:b/>
          <w:color w:val="000000"/>
        </w:rPr>
        <w:lastRenderedPageBreak/>
        <w:t>Data</w:t>
      </w:r>
    </w:p>
    <w:p w:rsidR="00C72CBF" w:rsidRPr="00E22794" w:rsidRDefault="00C72CBF" w:rsidP="00A06E7B">
      <w:pPr>
        <w:spacing w:after="0" w:line="360" w:lineRule="auto"/>
        <w:rPr>
          <w:rFonts w:ascii="Calibri" w:eastAsia="Times New Roman" w:hAnsi="Calibri" w:cs="Times New Roman"/>
          <w:color w:val="000000"/>
        </w:rPr>
      </w:pPr>
      <w:r>
        <w:rPr>
          <w:rFonts w:ascii="Calibri" w:eastAsia="Times New Roman" w:hAnsi="Calibri" w:cs="Times New Roman"/>
          <w:b/>
          <w:color w:val="000000"/>
        </w:rPr>
        <w:tab/>
      </w:r>
      <w:r>
        <w:rPr>
          <w:rFonts w:ascii="Calibri" w:eastAsia="Times New Roman" w:hAnsi="Calibri" w:cs="Times New Roman"/>
          <w:color w:val="000000"/>
        </w:rPr>
        <w:t>The data in this paper comes from the 2005 through 2015 American Community Survey one-year estimates.</w:t>
      </w:r>
      <w:r>
        <w:rPr>
          <w:rStyle w:val="FootnoteReference"/>
          <w:rFonts w:ascii="Calibri" w:eastAsia="Times New Roman" w:hAnsi="Calibri" w:cs="Times New Roman"/>
          <w:color w:val="000000"/>
        </w:rPr>
        <w:footnoteReference w:id="1"/>
      </w:r>
      <w:r>
        <w:rPr>
          <w:rFonts w:ascii="Calibri" w:eastAsia="Times New Roman" w:hAnsi="Calibri" w:cs="Times New Roman"/>
          <w:color w:val="000000"/>
        </w:rPr>
        <w:t xml:space="preserve">  </w:t>
      </w:r>
      <w:r w:rsidRPr="00E452BB">
        <w:t>T</w:t>
      </w:r>
      <w:r>
        <w:t>his research</w:t>
      </w:r>
      <w:r w:rsidRPr="00E452BB">
        <w:t xml:space="preserve"> is restricted to heads of househol</w:t>
      </w:r>
      <w:r w:rsidR="008448E3">
        <w:t>ds who live in an identifiable Metropolitan Statistical A</w:t>
      </w:r>
      <w:r w:rsidRPr="00E452BB">
        <w:t>rea (MSA)</w:t>
      </w:r>
      <w:r w:rsidR="00BD71D7">
        <w:rPr>
          <w:rStyle w:val="FootnoteReference"/>
        </w:rPr>
        <w:footnoteReference w:id="2"/>
      </w:r>
      <w:r>
        <w:t xml:space="preserve">.  </w:t>
      </w:r>
      <w:r w:rsidR="004569B1">
        <w:t>The</w:t>
      </w:r>
      <w:r w:rsidR="00E22794">
        <w:t>re were 352 MSAs in 2005 and 381</w:t>
      </w:r>
      <w:r w:rsidR="004569B1">
        <w:t xml:space="preserve"> MSAs in 2015.</w:t>
      </w:r>
      <w:r w:rsidR="00BD71D7">
        <w:t xml:space="preserve">  However, 26 </w:t>
      </w:r>
      <w:proofErr w:type="spellStart"/>
      <w:r w:rsidR="00BD71D7">
        <w:t>Micropolitan</w:t>
      </w:r>
      <w:proofErr w:type="spellEnd"/>
      <w:r w:rsidR="00BD71D7">
        <w:t xml:space="preserve"> Statistical Areas in 2005 </w:t>
      </w:r>
      <w:r w:rsidR="00E22794">
        <w:t>were</w:t>
      </w:r>
      <w:r w:rsidR="00BD71D7">
        <w:t xml:space="preserve"> MSAs in 2015.</w:t>
      </w:r>
      <w:r w:rsidR="00E22794">
        <w:t xml:space="preserve">  Three MSAs in 2015 were not MSAs in 2005 and were not </w:t>
      </w:r>
      <w:proofErr w:type="spellStart"/>
      <w:r w:rsidR="00E22794">
        <w:t>Micropolitan</w:t>
      </w:r>
      <w:proofErr w:type="spellEnd"/>
      <w:r w:rsidR="00E22794">
        <w:t xml:space="preserve"> Statistical Areas: California-Lexington Park, MD; </w:t>
      </w:r>
      <w:r w:rsidR="00E22794" w:rsidRPr="00BD71D7">
        <w:rPr>
          <w:rFonts w:ascii="Calibri" w:eastAsia="Times New Roman" w:hAnsi="Calibri" w:cs="Times New Roman"/>
          <w:color w:val="000000"/>
        </w:rPr>
        <w:t>Crestvie</w:t>
      </w:r>
      <w:r w:rsidR="00E22794">
        <w:rPr>
          <w:rFonts w:ascii="Calibri" w:eastAsia="Times New Roman" w:hAnsi="Calibri" w:cs="Times New Roman"/>
          <w:color w:val="000000"/>
        </w:rPr>
        <w:t xml:space="preserve">w-Fort Walton Beach-Destin, FL; and Sebastian-Vero Beach, FL.  </w:t>
      </w:r>
      <w:r w:rsidR="004569B1">
        <w:t xml:space="preserve"> </w:t>
      </w:r>
      <w:r w:rsidR="00E22794">
        <w:t>I</w:t>
      </w:r>
      <w:r>
        <w:t xml:space="preserve">n order to have a balanced dataset over the </w:t>
      </w:r>
      <w:r w:rsidR="00E22794">
        <w:t xml:space="preserve">entire time period, </w:t>
      </w:r>
      <w:r w:rsidR="008F6F02">
        <w:t>these three MSAs we</w:t>
      </w:r>
      <w:r w:rsidR="00E22794">
        <w:t>re excluded and a total of 378 MSAs we</w:t>
      </w:r>
      <w:r>
        <w:t>re used.</w:t>
      </w:r>
      <w:r w:rsidR="00B551E9">
        <w:t xml:space="preserve">  All </w:t>
      </w:r>
      <w:r w:rsidR="00B551E9" w:rsidRPr="00E452BB">
        <w:t xml:space="preserve">coefficients are calculated using household weights and standard errors are calculated using replicate weights.  </w:t>
      </w:r>
    </w:p>
    <w:p w:rsidR="009A5149" w:rsidRDefault="00B551E9" w:rsidP="00A06E7B">
      <w:pPr>
        <w:spacing w:after="0" w:line="360" w:lineRule="auto"/>
        <w:ind w:firstLine="720"/>
      </w:pPr>
      <w:r w:rsidRPr="00E452BB">
        <w:t>The main variable of interest throughout the paper is household income.</w:t>
      </w:r>
      <w:r>
        <w:t xml:space="preserve">  Two measures of household income are used: pre-tax, pre-transfer income and after-tax, after-transfer income.  Pre-tax, pre-transfer i</w:t>
      </w:r>
      <w:r w:rsidRPr="00E452BB">
        <w:t>ncome includes wage and salary income, self-employment income, retirement income,</w:t>
      </w:r>
      <w:r>
        <w:t xml:space="preserve"> and</w:t>
      </w:r>
      <w:r w:rsidRPr="00E452BB">
        <w:t xml:space="preserve"> interests and divid</w:t>
      </w:r>
      <w:r>
        <w:t xml:space="preserve">ends. </w:t>
      </w:r>
    </w:p>
    <w:p w:rsidR="00E90A2A" w:rsidRDefault="00B551E9" w:rsidP="00B551E9">
      <w:pPr>
        <w:spacing w:after="0" w:line="360" w:lineRule="auto"/>
        <w:ind w:firstLine="720"/>
      </w:pPr>
      <w:r>
        <w:t>After-tax, after-transfer income includes cash t</w:t>
      </w:r>
      <w:r w:rsidR="00C357F3">
        <w:t>ransfer payments (S</w:t>
      </w:r>
      <w:r>
        <w:t>upplem</w:t>
      </w:r>
      <w:r w:rsidR="00C357F3">
        <w:t>ental Security i</w:t>
      </w:r>
      <w:r>
        <w:t>ncome</w:t>
      </w:r>
      <w:r w:rsidR="00C357F3">
        <w:t>, Social S</w:t>
      </w:r>
      <w:r w:rsidRPr="00E452BB">
        <w:t xml:space="preserve">ecurity, and </w:t>
      </w:r>
      <w:r>
        <w:t xml:space="preserve">cash </w:t>
      </w:r>
      <w:r w:rsidRPr="00E452BB">
        <w:t>public assistance) and subtracts federal and state taxes using the National Bureau of Eco</w:t>
      </w:r>
      <w:r w:rsidR="00E22794">
        <w:t>nomic Research’s TAXSIM program</w:t>
      </w:r>
      <w:r w:rsidRPr="00E452BB">
        <w:rPr>
          <w:rStyle w:val="FootnoteReference"/>
        </w:rPr>
        <w:footnoteReference w:id="3"/>
      </w:r>
      <w:r w:rsidR="00E22794">
        <w:t xml:space="preserve"> for each year.</w:t>
      </w:r>
      <w:r w:rsidR="00E22794">
        <w:rPr>
          <w:rStyle w:val="FootnoteReference"/>
        </w:rPr>
        <w:footnoteReference w:id="4"/>
      </w:r>
      <w:r>
        <w:t xml:space="preserve">  Due to tax credits, it is possible for taxes to be negativ</w:t>
      </w:r>
      <w:r w:rsidR="008C2028">
        <w:t xml:space="preserve">e, which means that income </w:t>
      </w:r>
      <w:r>
        <w:t>increase</w:t>
      </w:r>
      <w:r w:rsidR="008C2028">
        <w:t>s</w:t>
      </w:r>
      <w:r w:rsidR="00C357F3">
        <w:t xml:space="preserve"> for these households</w:t>
      </w:r>
      <w:r>
        <w:t xml:space="preserve"> after taxes are taken into account.</w:t>
      </w:r>
      <w:r w:rsidR="00E90A2A">
        <w:t xml:space="preserve">  For the purposes of this paper, government programs are defined as state and federal income taxes and cash transfer payments.</w:t>
      </w:r>
      <w:r w:rsidR="00326215">
        <w:rPr>
          <w:rStyle w:val="FootnoteReference"/>
        </w:rPr>
        <w:footnoteReference w:id="5"/>
      </w:r>
    </w:p>
    <w:p w:rsidR="00B551E9" w:rsidRPr="00E452BB" w:rsidRDefault="00B551E9" w:rsidP="00B551E9">
      <w:pPr>
        <w:spacing w:after="0" w:line="360" w:lineRule="auto"/>
        <w:ind w:firstLine="720"/>
      </w:pPr>
      <w:r w:rsidRPr="00E452BB">
        <w:t>The difference in household size is adjusted for by using the following</w:t>
      </w:r>
      <w:r>
        <w:t xml:space="preserve"> three-parameter equivalence</w:t>
      </w:r>
      <w:r w:rsidRPr="00E452BB">
        <w:t xml:space="preserve"> scale</w:t>
      </w:r>
      <w:r>
        <w:t>, which is the same equivalence scale used in the supplemental poverty measure</w:t>
      </w:r>
      <w:r>
        <w:rPr>
          <w:rStyle w:val="FootnoteReference"/>
        </w:rPr>
        <w:footnoteReference w:id="6"/>
      </w:r>
      <w:r w:rsidRPr="00E452BB">
        <w:t>:</w:t>
      </w:r>
    </w:p>
    <w:p w:rsidR="00B551E9" w:rsidRPr="00BD7B2D" w:rsidRDefault="00B551E9" w:rsidP="00B551E9">
      <w:pPr>
        <w:spacing w:after="0" w:line="360" w:lineRule="auto"/>
        <w:rPr>
          <w:rFonts w:eastAsiaTheme="minorEastAsia"/>
        </w:rPr>
      </w:pPr>
      <w:r w:rsidRPr="00E452BB">
        <w:tab/>
      </w:r>
      <w:r w:rsidRPr="00E452BB">
        <w:tab/>
        <w:t xml:space="preserve">One and two adults: </w:t>
      </w:r>
      <m:oMath>
        <m:r>
          <w:rPr>
            <w:rFonts w:ascii="Cambria Math" w:hAnsi="Cambria Math"/>
          </w:rPr>
          <m:t>scale=adults^0.5</m:t>
        </m:r>
      </m:oMath>
    </w:p>
    <w:p w:rsidR="00B551E9" w:rsidRPr="00BD7B2D" w:rsidRDefault="00B551E9" w:rsidP="00B551E9">
      <w:pPr>
        <w:spacing w:after="0" w:line="360" w:lineRule="auto"/>
        <w:rPr>
          <w:rFonts w:ascii="Cambria Math" w:hAnsi="Cambria Math"/>
          <w:oMath/>
        </w:rPr>
      </w:pPr>
      <w:r w:rsidRPr="00E452BB">
        <w:tab/>
      </w:r>
      <w:r w:rsidRPr="00E452BB">
        <w:tab/>
        <w:t xml:space="preserve">Single parents: </w:t>
      </w:r>
      <m:oMath>
        <m:r>
          <w:rPr>
            <w:rFonts w:ascii="Cambria Math" w:hAnsi="Cambria Math"/>
          </w:rPr>
          <m:t>scale=(adults + 0.8 × first chil</m:t>
        </m:r>
        <m:r>
          <w:rPr>
            <w:rFonts w:ascii="Cambria Math" w:hAnsi="Cambria Math"/>
          </w:rPr>
          <m:t>d + 0.5 × other children)^0.7</m:t>
        </m:r>
      </m:oMath>
    </w:p>
    <w:p w:rsidR="00B551E9" w:rsidRPr="00E452BB" w:rsidRDefault="00B551E9" w:rsidP="00B551E9">
      <w:pPr>
        <w:spacing w:after="0" w:line="360" w:lineRule="auto"/>
      </w:pPr>
      <w:r w:rsidRPr="00E452BB">
        <w:tab/>
      </w:r>
      <w:r w:rsidRPr="00E452BB">
        <w:tab/>
        <w:t xml:space="preserve">All other families: </w:t>
      </w:r>
      <m:oMath>
        <m:r>
          <w:rPr>
            <w:rFonts w:ascii="Cambria Math" w:hAnsi="Cambria Math"/>
          </w:rPr>
          <m:t>scale=</m:t>
        </m:r>
      </m:oMath>
      <w:r w:rsidRPr="00E452BB">
        <w:t xml:space="preserve"> </w:t>
      </w:r>
      <m:oMath>
        <m:r>
          <w:rPr>
            <w:rFonts w:ascii="Cambria Math" w:hAnsi="Cambria Math"/>
          </w:rPr>
          <m:t>(adults + 0.5 × children)^0.7</m:t>
        </m:r>
      </m:oMath>
    </w:p>
    <w:p w:rsidR="00B551E9" w:rsidRDefault="00B551E9" w:rsidP="006261F2">
      <w:pPr>
        <w:spacing w:after="0" w:line="360" w:lineRule="auto"/>
      </w:pPr>
      <w:r>
        <w:lastRenderedPageBreak/>
        <w:t xml:space="preserve">where </w:t>
      </w:r>
      <w:r w:rsidRPr="009D6FC8">
        <w:rPr>
          <w:i/>
        </w:rPr>
        <w:t>adults</w:t>
      </w:r>
      <w:r>
        <w:t xml:space="preserve"> is the number of adults in the household, </w:t>
      </w:r>
      <w:r w:rsidRPr="009D6FC8">
        <w:rPr>
          <w:i/>
        </w:rPr>
        <w:t>first child</w:t>
      </w:r>
      <w:r>
        <w:t xml:space="preserve"> is equal to one if the household has at least one child, </w:t>
      </w:r>
      <w:r w:rsidRPr="009D6FC8">
        <w:rPr>
          <w:i/>
        </w:rPr>
        <w:t>other children</w:t>
      </w:r>
      <w:r>
        <w:t xml:space="preserve"> is equal to the number of children in the household minus one, and </w:t>
      </w:r>
      <w:r w:rsidRPr="009D6FC8">
        <w:rPr>
          <w:i/>
        </w:rPr>
        <w:t>children</w:t>
      </w:r>
      <w:r>
        <w:t xml:space="preserve"> is the number of children in the household.</w:t>
      </w:r>
    </w:p>
    <w:p w:rsidR="001D5C0A" w:rsidRDefault="00B551E9" w:rsidP="004949F1">
      <w:pPr>
        <w:spacing w:line="360" w:lineRule="auto"/>
        <w:ind w:firstLine="720"/>
      </w:pPr>
      <w:r w:rsidRPr="00E452BB">
        <w:t>Income is divided by this scale variable to get a measure of equivalence adjusted household income.</w:t>
      </w:r>
      <w:r w:rsidRPr="00E452BB">
        <w:tab/>
        <w:t xml:space="preserve">  Finally, income is adjusted by MSA cost of living</w:t>
      </w:r>
      <w:r>
        <w:t xml:space="preserve"> (COL)</w:t>
      </w:r>
      <w:r w:rsidRPr="00E452BB">
        <w:t xml:space="preserve"> using regional price parities</w:t>
      </w:r>
      <w:r>
        <w:t xml:space="preserve"> (RPPs)</w:t>
      </w:r>
      <w:r w:rsidRPr="00E452BB">
        <w:t xml:space="preserve"> developed by the Bureau of </w:t>
      </w:r>
      <w:r>
        <w:t>Economic Analysis (BEA).</w:t>
      </w:r>
      <w:r w:rsidR="008C2028">
        <w:rPr>
          <w:rStyle w:val="FootnoteReference"/>
        </w:rPr>
        <w:footnoteReference w:id="7"/>
      </w:r>
      <w:r>
        <w:t xml:space="preserve">  RPPs are based on prices of a variety of items from the Consumer Price Index, such as food, transportation, and education, as well as rents obtained from the </w:t>
      </w:r>
      <w:r w:rsidR="008448E3">
        <w:t>ACS</w:t>
      </w:r>
      <w:r>
        <w:t>.</w:t>
      </w:r>
      <w:r w:rsidR="00326215">
        <w:rPr>
          <w:rStyle w:val="FootnoteReference"/>
        </w:rPr>
        <w:footnoteReference w:id="8"/>
      </w:r>
      <w:r>
        <w:t xml:space="preserve">  These prices and rents are used to create an index</w:t>
      </w:r>
      <w:r w:rsidR="00EA6F8F">
        <w:t>,</w:t>
      </w:r>
      <w:r>
        <w:t xml:space="preserve"> which compares each MSA price level to the national price level</w:t>
      </w:r>
      <w:r w:rsidR="00476A98">
        <w:t>.</w:t>
      </w:r>
    </w:p>
    <w:p w:rsidR="00EB6837" w:rsidRDefault="00EB6837" w:rsidP="00287A4B">
      <w:pPr>
        <w:spacing w:line="360" w:lineRule="auto"/>
        <w:rPr>
          <w:rFonts w:ascii="Calibri" w:eastAsia="Times New Roman" w:hAnsi="Calibri" w:cs="Times New Roman"/>
          <w:color w:val="000000"/>
        </w:rPr>
      </w:pPr>
    </w:p>
    <w:p w:rsidR="00B736EC" w:rsidRDefault="008448E3" w:rsidP="00B736EC">
      <w:pPr>
        <w:rPr>
          <w:rFonts w:ascii="Calibri" w:eastAsia="Times New Roman" w:hAnsi="Calibri" w:cs="Times New Roman"/>
          <w:b/>
          <w:color w:val="000000"/>
        </w:rPr>
      </w:pPr>
      <w:r>
        <w:rPr>
          <w:rFonts w:ascii="Calibri" w:eastAsia="Times New Roman" w:hAnsi="Calibri" w:cs="Times New Roman"/>
          <w:b/>
          <w:color w:val="000000"/>
        </w:rPr>
        <w:t>The Effect of Government P</w:t>
      </w:r>
      <w:r w:rsidR="00B736EC">
        <w:rPr>
          <w:rFonts w:ascii="Calibri" w:eastAsia="Times New Roman" w:hAnsi="Calibri" w:cs="Times New Roman"/>
          <w:b/>
          <w:color w:val="000000"/>
        </w:rPr>
        <w:t>rograms</w:t>
      </w:r>
    </w:p>
    <w:p w:rsidR="008D7945" w:rsidRDefault="008D7945" w:rsidP="00AD572D">
      <w:pPr>
        <w:spacing w:line="360" w:lineRule="auto"/>
      </w:pPr>
      <w:r>
        <w:rPr>
          <w:rFonts w:ascii="Calibri" w:eastAsia="Times New Roman" w:hAnsi="Calibri" w:cs="Times New Roman"/>
          <w:b/>
          <w:color w:val="000000"/>
        </w:rPr>
        <w:tab/>
      </w:r>
      <w:r>
        <w:t xml:space="preserve">There </w:t>
      </w:r>
      <w:r w:rsidR="00314011">
        <w:t>is one</w:t>
      </w:r>
      <w:r w:rsidR="008F6F02">
        <w:t xml:space="preserve"> important caveat</w:t>
      </w:r>
      <w:r>
        <w:t xml:space="preserve"> to keep in mind when thinking about the effect of government prog</w:t>
      </w:r>
      <w:r w:rsidR="000635EF">
        <w:t xml:space="preserve">rams </w:t>
      </w:r>
      <w:r>
        <w:t xml:space="preserve">from 2005 to 2015.  </w:t>
      </w:r>
      <w:r w:rsidR="00314011">
        <w:t>T</w:t>
      </w:r>
      <w:r>
        <w:t>here were some changes to federal income tax policies during this time.  In 2009, the Earned Income Tax Credit was expanded to cover more families and provide larger benefits.  In 2013</w:t>
      </w:r>
      <w:r w:rsidR="00D23470">
        <w:t>, a new top tax bracket of 39.6</w:t>
      </w:r>
      <w:r>
        <w:t xml:space="preserve"> percent was added on top of the previous top tax bracket of 35 percent.  Both of these policy changes</w:t>
      </w:r>
      <w:r w:rsidR="000635EF">
        <w:t xml:space="preserve"> serve to reduce income inequality by providing benefits to those at the lower end of the income distribution and decreasing disposable income of those at the upper end of the income distribution.</w:t>
      </w:r>
      <w:r w:rsidR="00AD572D">
        <w:t xml:space="preserve">  </w:t>
      </w:r>
      <w:r w:rsidR="00314011">
        <w:t>This caveat</w:t>
      </w:r>
      <w:r w:rsidR="000635EF">
        <w:t xml:space="preserve"> mean</w:t>
      </w:r>
      <w:r w:rsidR="00314011">
        <w:t>s</w:t>
      </w:r>
      <w:r w:rsidR="00EB7A9F">
        <w:t xml:space="preserve"> that some of what is </w:t>
      </w:r>
      <w:r w:rsidR="000635EF">
        <w:t xml:space="preserve">captured in the analysis is a change over time in the effect of government programs and some is the effect of the change in the government programs themselves.  </w:t>
      </w:r>
    </w:p>
    <w:p w:rsidR="00AD572D" w:rsidRDefault="00AD572D" w:rsidP="00AD572D">
      <w:pPr>
        <w:spacing w:line="360" w:lineRule="auto"/>
        <w:ind w:firstLine="720"/>
        <w:rPr>
          <w:rFonts w:ascii="Calibri" w:eastAsia="Times New Roman" w:hAnsi="Calibri" w:cs="Times New Roman"/>
          <w:color w:val="000000"/>
        </w:rPr>
      </w:pPr>
      <w:r>
        <w:rPr>
          <w:rFonts w:ascii="Calibri" w:eastAsia="Times New Roman" w:hAnsi="Calibri" w:cs="Times New Roman"/>
          <w:color w:val="000000"/>
        </w:rPr>
        <w:t>The household income cut-off points</w:t>
      </w:r>
      <w:r w:rsidR="00841C9D">
        <w:rPr>
          <w:rFonts w:ascii="Calibri" w:eastAsia="Times New Roman" w:hAnsi="Calibri" w:cs="Times New Roman"/>
          <w:color w:val="000000"/>
        </w:rPr>
        <w:t>, or quintile limits,</w:t>
      </w:r>
      <w:r>
        <w:rPr>
          <w:rFonts w:ascii="Calibri" w:eastAsia="Times New Roman" w:hAnsi="Calibri" w:cs="Times New Roman"/>
          <w:color w:val="000000"/>
        </w:rPr>
        <w:t xml:space="preserve"> used to calculate the income shares for 2005 and 2015 are listed in Table 1.  The first quintile includes all households with income below the cut-off value listed under First.  The second quintile includes all households with income between the first cut-off value and the second cut-off value.  The third quintile includes all households with income between the second cut-off value and the third cut-off value.</w:t>
      </w:r>
      <w:r w:rsidRPr="00DA61FC">
        <w:rPr>
          <w:rFonts w:ascii="Calibri" w:eastAsia="Times New Roman" w:hAnsi="Calibri" w:cs="Times New Roman"/>
          <w:color w:val="000000"/>
        </w:rPr>
        <w:t xml:space="preserve"> </w:t>
      </w:r>
      <w:r>
        <w:rPr>
          <w:rFonts w:ascii="Calibri" w:eastAsia="Times New Roman" w:hAnsi="Calibri" w:cs="Times New Roman"/>
          <w:color w:val="000000"/>
        </w:rPr>
        <w:t xml:space="preserve"> The fourth quintile includes all households with income between the third cut-off value and the fourth cut-off value.  The fifth quintile includes all households with income above the fourth cut-off value.  The top one percent includes all households with incomes above the top one percent cut-off value.</w:t>
      </w:r>
    </w:p>
    <w:p w:rsidR="00AD572D" w:rsidRDefault="00AD572D" w:rsidP="00AD572D">
      <w:pPr>
        <w:spacing w:line="360" w:lineRule="auto"/>
        <w:ind w:firstLine="720"/>
        <w:rPr>
          <w:rFonts w:ascii="Calibri" w:eastAsia="Times New Roman" w:hAnsi="Calibri" w:cs="Times New Roman"/>
          <w:color w:val="000000"/>
        </w:rPr>
      </w:pPr>
      <w:r>
        <w:rPr>
          <w:rFonts w:ascii="Calibri" w:eastAsia="Times New Roman" w:hAnsi="Calibri" w:cs="Times New Roman"/>
          <w:color w:val="000000"/>
        </w:rPr>
        <w:lastRenderedPageBreak/>
        <w:t xml:space="preserve">For both years, the </w:t>
      </w:r>
      <w:r w:rsidR="00841C9D">
        <w:rPr>
          <w:rFonts w:ascii="Calibri" w:eastAsia="Times New Roman" w:hAnsi="Calibri" w:cs="Times New Roman"/>
          <w:color w:val="000000"/>
        </w:rPr>
        <w:t>cut-off values</w:t>
      </w:r>
      <w:r>
        <w:rPr>
          <w:rFonts w:ascii="Calibri" w:eastAsia="Times New Roman" w:hAnsi="Calibri" w:cs="Times New Roman"/>
          <w:color w:val="000000"/>
        </w:rPr>
        <w:t xml:space="preserve"> are larger when government programs are included in household income for the </w:t>
      </w:r>
      <w:r w:rsidR="00841C9D">
        <w:rPr>
          <w:rFonts w:ascii="Calibri" w:eastAsia="Times New Roman" w:hAnsi="Calibri" w:cs="Times New Roman"/>
          <w:color w:val="000000"/>
        </w:rPr>
        <w:t>first and second quintile limits and</w:t>
      </w:r>
      <w:r>
        <w:rPr>
          <w:rFonts w:ascii="Calibri" w:eastAsia="Times New Roman" w:hAnsi="Calibri" w:cs="Times New Roman"/>
          <w:color w:val="000000"/>
        </w:rPr>
        <w:t xml:space="preserve"> smaller when government programs are included in house</w:t>
      </w:r>
      <w:r w:rsidR="00841C9D">
        <w:rPr>
          <w:rFonts w:ascii="Calibri" w:eastAsia="Times New Roman" w:hAnsi="Calibri" w:cs="Times New Roman"/>
          <w:color w:val="000000"/>
        </w:rPr>
        <w:t xml:space="preserve">hold income for the third and fourth quintile limits.  Before examining the quintile shares in Table 3, one can already see that government programs </w:t>
      </w:r>
      <w:r w:rsidR="004D5AA6">
        <w:rPr>
          <w:rFonts w:ascii="Calibri" w:eastAsia="Times New Roman" w:hAnsi="Calibri" w:cs="Times New Roman"/>
          <w:color w:val="000000"/>
        </w:rPr>
        <w:t xml:space="preserve">increase disposable incomes for </w:t>
      </w:r>
      <w:r w:rsidR="00841C9D">
        <w:rPr>
          <w:rFonts w:ascii="Calibri" w:eastAsia="Times New Roman" w:hAnsi="Calibri" w:cs="Times New Roman"/>
          <w:color w:val="000000"/>
        </w:rPr>
        <w:t xml:space="preserve">households in the bottom of the income distribution and </w:t>
      </w:r>
      <w:r w:rsidR="004D5AA6">
        <w:rPr>
          <w:rFonts w:ascii="Calibri" w:eastAsia="Times New Roman" w:hAnsi="Calibri" w:cs="Times New Roman"/>
          <w:color w:val="000000"/>
        </w:rPr>
        <w:t xml:space="preserve">decrease disposable incomes for </w:t>
      </w:r>
      <w:r w:rsidR="00841C9D">
        <w:rPr>
          <w:rFonts w:ascii="Calibri" w:eastAsia="Times New Roman" w:hAnsi="Calibri" w:cs="Times New Roman"/>
          <w:color w:val="000000"/>
        </w:rPr>
        <w:t>households at the top of the income distribution.</w:t>
      </w:r>
    </w:p>
    <w:tbl>
      <w:tblPr>
        <w:tblStyle w:val="TableGrid"/>
        <w:tblW w:w="0" w:type="auto"/>
        <w:tblInd w:w="18" w:type="dxa"/>
        <w:tblLayout w:type="fixed"/>
        <w:tblLook w:val="04A0" w:firstRow="1" w:lastRow="0" w:firstColumn="1" w:lastColumn="0" w:noHBand="0" w:noVBand="1"/>
      </w:tblPr>
      <w:tblGrid>
        <w:gridCol w:w="1080"/>
        <w:gridCol w:w="990"/>
        <w:gridCol w:w="1080"/>
        <w:gridCol w:w="990"/>
        <w:gridCol w:w="900"/>
        <w:gridCol w:w="990"/>
        <w:gridCol w:w="1080"/>
        <w:gridCol w:w="1170"/>
        <w:gridCol w:w="990"/>
      </w:tblGrid>
      <w:tr w:rsidR="00AD572D" w:rsidTr="00AD572D">
        <w:tc>
          <w:tcPr>
            <w:tcW w:w="9270" w:type="dxa"/>
            <w:gridSpan w:val="9"/>
          </w:tcPr>
          <w:p w:rsidR="00AD572D" w:rsidRDefault="00AD572D" w:rsidP="00AD572D">
            <w:pPr>
              <w:jc w:val="center"/>
              <w:rPr>
                <w:b/>
              </w:rPr>
            </w:pPr>
            <w:r>
              <w:rPr>
                <w:b/>
              </w:rPr>
              <w:t>Table 1</w:t>
            </w:r>
            <w:r w:rsidR="00841C9D">
              <w:rPr>
                <w:b/>
              </w:rPr>
              <w:t>: Household Income Cut-off Value</w:t>
            </w:r>
            <w:r>
              <w:rPr>
                <w:b/>
              </w:rPr>
              <w:t>s for Quintiles and Top One Percent</w:t>
            </w:r>
          </w:p>
        </w:tc>
      </w:tr>
      <w:tr w:rsidR="00AD572D" w:rsidTr="00AD572D">
        <w:tc>
          <w:tcPr>
            <w:tcW w:w="1080" w:type="dxa"/>
          </w:tcPr>
          <w:p w:rsidR="00AD572D" w:rsidRDefault="00AD572D" w:rsidP="00AD572D">
            <w:pPr>
              <w:jc w:val="center"/>
              <w:rPr>
                <w:b/>
              </w:rPr>
            </w:pPr>
          </w:p>
        </w:tc>
        <w:tc>
          <w:tcPr>
            <w:tcW w:w="3960" w:type="dxa"/>
            <w:gridSpan w:val="4"/>
          </w:tcPr>
          <w:p w:rsidR="00AD572D" w:rsidRPr="00DA61FC" w:rsidRDefault="00AD572D" w:rsidP="00AD572D">
            <w:pPr>
              <w:jc w:val="center"/>
              <w:rPr>
                <w:b/>
                <w:vertAlign w:val="superscript"/>
              </w:rPr>
            </w:pPr>
            <w:r>
              <w:rPr>
                <w:b/>
              </w:rPr>
              <w:t>2005</w:t>
            </w:r>
            <w:r>
              <w:rPr>
                <w:b/>
                <w:vertAlign w:val="superscript"/>
              </w:rPr>
              <w:t>1</w:t>
            </w:r>
          </w:p>
        </w:tc>
        <w:tc>
          <w:tcPr>
            <w:tcW w:w="4230" w:type="dxa"/>
            <w:gridSpan w:val="4"/>
          </w:tcPr>
          <w:p w:rsidR="00AD572D" w:rsidRPr="00DA61FC" w:rsidRDefault="00AD572D" w:rsidP="00AD572D">
            <w:pPr>
              <w:jc w:val="center"/>
              <w:rPr>
                <w:b/>
                <w:vertAlign w:val="superscript"/>
              </w:rPr>
            </w:pPr>
            <w:r>
              <w:rPr>
                <w:b/>
              </w:rPr>
              <w:t>2015</w:t>
            </w:r>
            <w:r>
              <w:rPr>
                <w:b/>
                <w:vertAlign w:val="superscript"/>
              </w:rPr>
              <w:t>1</w:t>
            </w:r>
          </w:p>
        </w:tc>
      </w:tr>
      <w:tr w:rsidR="00AD572D" w:rsidTr="00AD572D">
        <w:tc>
          <w:tcPr>
            <w:tcW w:w="1080" w:type="dxa"/>
          </w:tcPr>
          <w:p w:rsidR="00AD572D" w:rsidRDefault="00AD572D" w:rsidP="00AD572D">
            <w:pPr>
              <w:rPr>
                <w:b/>
              </w:rPr>
            </w:pPr>
          </w:p>
        </w:tc>
        <w:tc>
          <w:tcPr>
            <w:tcW w:w="2070" w:type="dxa"/>
            <w:gridSpan w:val="2"/>
          </w:tcPr>
          <w:p w:rsidR="00AD572D" w:rsidRDefault="00AD572D" w:rsidP="00AD572D">
            <w:pPr>
              <w:jc w:val="center"/>
              <w:rPr>
                <w:b/>
              </w:rPr>
            </w:pPr>
            <w:r>
              <w:rPr>
                <w:b/>
              </w:rPr>
              <w:t>Pre-tax, Pre-transfer</w:t>
            </w:r>
          </w:p>
        </w:tc>
        <w:tc>
          <w:tcPr>
            <w:tcW w:w="1890" w:type="dxa"/>
            <w:gridSpan w:val="2"/>
          </w:tcPr>
          <w:p w:rsidR="00AD572D" w:rsidRDefault="00AD572D" w:rsidP="00AD572D">
            <w:pPr>
              <w:jc w:val="center"/>
              <w:rPr>
                <w:b/>
              </w:rPr>
            </w:pPr>
            <w:r>
              <w:rPr>
                <w:b/>
              </w:rPr>
              <w:t>After-tax, After-transfer</w:t>
            </w:r>
          </w:p>
        </w:tc>
        <w:tc>
          <w:tcPr>
            <w:tcW w:w="2070" w:type="dxa"/>
            <w:gridSpan w:val="2"/>
          </w:tcPr>
          <w:p w:rsidR="00AD572D" w:rsidRDefault="00AD572D" w:rsidP="00AD572D">
            <w:pPr>
              <w:jc w:val="center"/>
              <w:rPr>
                <w:b/>
              </w:rPr>
            </w:pPr>
            <w:r>
              <w:rPr>
                <w:b/>
              </w:rPr>
              <w:t>Pre-tax, Pre-transfer</w:t>
            </w:r>
          </w:p>
        </w:tc>
        <w:tc>
          <w:tcPr>
            <w:tcW w:w="2160" w:type="dxa"/>
            <w:gridSpan w:val="2"/>
          </w:tcPr>
          <w:p w:rsidR="00AD572D" w:rsidRDefault="00AD572D" w:rsidP="00AD572D">
            <w:pPr>
              <w:jc w:val="center"/>
              <w:rPr>
                <w:b/>
              </w:rPr>
            </w:pPr>
            <w:r>
              <w:rPr>
                <w:b/>
              </w:rPr>
              <w:t>After-tax, After-transfer</w:t>
            </w:r>
          </w:p>
        </w:tc>
      </w:tr>
      <w:tr w:rsidR="00AD572D" w:rsidTr="00AD572D">
        <w:tc>
          <w:tcPr>
            <w:tcW w:w="1080" w:type="dxa"/>
          </w:tcPr>
          <w:p w:rsidR="00AD572D" w:rsidRDefault="00841C9D" w:rsidP="00AD572D">
            <w:pPr>
              <w:rPr>
                <w:b/>
              </w:rPr>
            </w:pPr>
            <w:r>
              <w:rPr>
                <w:b/>
              </w:rPr>
              <w:t>Quintile Limit</w:t>
            </w:r>
          </w:p>
        </w:tc>
        <w:tc>
          <w:tcPr>
            <w:tcW w:w="990" w:type="dxa"/>
          </w:tcPr>
          <w:p w:rsidR="00AD572D" w:rsidRDefault="00AD572D" w:rsidP="00AD572D">
            <w:pPr>
              <w:jc w:val="center"/>
              <w:rPr>
                <w:b/>
              </w:rPr>
            </w:pPr>
            <w:r>
              <w:rPr>
                <w:b/>
              </w:rPr>
              <w:t>Income</w:t>
            </w:r>
          </w:p>
        </w:tc>
        <w:tc>
          <w:tcPr>
            <w:tcW w:w="1080" w:type="dxa"/>
          </w:tcPr>
          <w:p w:rsidR="00AD572D" w:rsidRDefault="00841C9D" w:rsidP="00AD572D">
            <w:pPr>
              <w:jc w:val="center"/>
              <w:rPr>
                <w:b/>
              </w:rPr>
            </w:pPr>
            <w:r>
              <w:rPr>
                <w:b/>
              </w:rPr>
              <w:t>Std. Err</w:t>
            </w:r>
          </w:p>
        </w:tc>
        <w:tc>
          <w:tcPr>
            <w:tcW w:w="990" w:type="dxa"/>
          </w:tcPr>
          <w:p w:rsidR="00AD572D" w:rsidRDefault="00AD572D" w:rsidP="00AD572D">
            <w:pPr>
              <w:jc w:val="center"/>
              <w:rPr>
                <w:b/>
              </w:rPr>
            </w:pPr>
            <w:r>
              <w:rPr>
                <w:b/>
              </w:rPr>
              <w:t>Income</w:t>
            </w:r>
          </w:p>
        </w:tc>
        <w:tc>
          <w:tcPr>
            <w:tcW w:w="900" w:type="dxa"/>
          </w:tcPr>
          <w:p w:rsidR="00AD572D" w:rsidRDefault="00841C9D" w:rsidP="00AD572D">
            <w:pPr>
              <w:jc w:val="center"/>
              <w:rPr>
                <w:b/>
              </w:rPr>
            </w:pPr>
            <w:r>
              <w:rPr>
                <w:b/>
              </w:rPr>
              <w:t>Std. Err</w:t>
            </w:r>
          </w:p>
        </w:tc>
        <w:tc>
          <w:tcPr>
            <w:tcW w:w="990" w:type="dxa"/>
          </w:tcPr>
          <w:p w:rsidR="00AD572D" w:rsidRDefault="00AD572D" w:rsidP="00AD572D">
            <w:pPr>
              <w:jc w:val="center"/>
              <w:rPr>
                <w:b/>
              </w:rPr>
            </w:pPr>
            <w:r>
              <w:rPr>
                <w:b/>
              </w:rPr>
              <w:t>Income</w:t>
            </w:r>
          </w:p>
        </w:tc>
        <w:tc>
          <w:tcPr>
            <w:tcW w:w="1080" w:type="dxa"/>
          </w:tcPr>
          <w:p w:rsidR="00AD572D" w:rsidRDefault="00841C9D" w:rsidP="00AD572D">
            <w:pPr>
              <w:jc w:val="center"/>
              <w:rPr>
                <w:b/>
              </w:rPr>
            </w:pPr>
            <w:r>
              <w:rPr>
                <w:b/>
              </w:rPr>
              <w:t>Std. Err</w:t>
            </w:r>
          </w:p>
        </w:tc>
        <w:tc>
          <w:tcPr>
            <w:tcW w:w="1170" w:type="dxa"/>
          </w:tcPr>
          <w:p w:rsidR="00AD572D" w:rsidRDefault="00AD572D" w:rsidP="00AD572D">
            <w:pPr>
              <w:jc w:val="center"/>
              <w:rPr>
                <w:b/>
              </w:rPr>
            </w:pPr>
            <w:r>
              <w:rPr>
                <w:b/>
              </w:rPr>
              <w:t>Income</w:t>
            </w:r>
          </w:p>
        </w:tc>
        <w:tc>
          <w:tcPr>
            <w:tcW w:w="990" w:type="dxa"/>
          </w:tcPr>
          <w:p w:rsidR="00AD572D" w:rsidRDefault="00841C9D" w:rsidP="00AD572D">
            <w:pPr>
              <w:jc w:val="center"/>
              <w:rPr>
                <w:b/>
              </w:rPr>
            </w:pPr>
            <w:r>
              <w:rPr>
                <w:b/>
              </w:rPr>
              <w:t>Std. Err</w:t>
            </w:r>
          </w:p>
        </w:tc>
      </w:tr>
      <w:tr w:rsidR="00AD572D" w:rsidRPr="00A653EE" w:rsidTr="00AD572D">
        <w:tc>
          <w:tcPr>
            <w:tcW w:w="1080" w:type="dxa"/>
          </w:tcPr>
          <w:p w:rsidR="00AD572D" w:rsidRDefault="00AD572D" w:rsidP="00AD572D">
            <w:pPr>
              <w:rPr>
                <w:b/>
              </w:rPr>
            </w:pPr>
            <w:r>
              <w:rPr>
                <w:b/>
              </w:rPr>
              <w:t xml:space="preserve">   First</w:t>
            </w:r>
          </w:p>
        </w:tc>
        <w:tc>
          <w:tcPr>
            <w:tcW w:w="990" w:type="dxa"/>
          </w:tcPr>
          <w:p w:rsidR="00AD572D" w:rsidRPr="00A653EE" w:rsidRDefault="00AD572D" w:rsidP="00AD572D">
            <w:pPr>
              <w:jc w:val="right"/>
            </w:pPr>
            <w:r>
              <w:t>11,088</w:t>
            </w:r>
          </w:p>
        </w:tc>
        <w:tc>
          <w:tcPr>
            <w:tcW w:w="1080" w:type="dxa"/>
          </w:tcPr>
          <w:p w:rsidR="00AD572D" w:rsidRPr="00A653EE" w:rsidRDefault="00AD572D" w:rsidP="00AD572D">
            <w:pPr>
              <w:jc w:val="right"/>
            </w:pPr>
            <w:r>
              <w:t>30.66</w:t>
            </w:r>
          </w:p>
        </w:tc>
        <w:tc>
          <w:tcPr>
            <w:tcW w:w="990" w:type="dxa"/>
          </w:tcPr>
          <w:p w:rsidR="00AD572D" w:rsidRPr="00A653EE" w:rsidRDefault="00AD572D" w:rsidP="00AD572D">
            <w:pPr>
              <w:jc w:val="right"/>
            </w:pPr>
            <w:r>
              <w:t>16,360</w:t>
            </w:r>
          </w:p>
        </w:tc>
        <w:tc>
          <w:tcPr>
            <w:tcW w:w="900" w:type="dxa"/>
          </w:tcPr>
          <w:p w:rsidR="00AD572D" w:rsidRPr="00A653EE" w:rsidRDefault="00AD572D" w:rsidP="00AD572D">
            <w:pPr>
              <w:jc w:val="right"/>
            </w:pPr>
            <w:r>
              <w:t>29.98</w:t>
            </w:r>
          </w:p>
        </w:tc>
        <w:tc>
          <w:tcPr>
            <w:tcW w:w="990" w:type="dxa"/>
          </w:tcPr>
          <w:p w:rsidR="00AD572D" w:rsidRPr="00A653EE" w:rsidRDefault="00AD572D" w:rsidP="00AD572D">
            <w:pPr>
              <w:jc w:val="right"/>
            </w:pPr>
            <w:r>
              <w:t>9,914</w:t>
            </w:r>
          </w:p>
        </w:tc>
        <w:tc>
          <w:tcPr>
            <w:tcW w:w="1080" w:type="dxa"/>
          </w:tcPr>
          <w:p w:rsidR="00AD572D" w:rsidRPr="00A653EE" w:rsidRDefault="00AD572D" w:rsidP="00AD572D">
            <w:pPr>
              <w:jc w:val="right"/>
            </w:pPr>
            <w:r>
              <w:t>21.61</w:t>
            </w:r>
          </w:p>
        </w:tc>
        <w:tc>
          <w:tcPr>
            <w:tcW w:w="1170" w:type="dxa"/>
          </w:tcPr>
          <w:p w:rsidR="00AD572D" w:rsidRPr="00A653EE" w:rsidRDefault="00AD572D" w:rsidP="00AD572D">
            <w:pPr>
              <w:jc w:val="right"/>
            </w:pPr>
            <w:r>
              <w:t>16,356</w:t>
            </w:r>
          </w:p>
        </w:tc>
        <w:tc>
          <w:tcPr>
            <w:tcW w:w="990" w:type="dxa"/>
          </w:tcPr>
          <w:p w:rsidR="00AD572D" w:rsidRPr="00A653EE" w:rsidRDefault="00AD572D" w:rsidP="00AD572D">
            <w:pPr>
              <w:jc w:val="right"/>
            </w:pPr>
            <w:r>
              <w:t>20.20</w:t>
            </w:r>
          </w:p>
        </w:tc>
      </w:tr>
      <w:tr w:rsidR="00AD572D" w:rsidRPr="00A653EE" w:rsidTr="00AD572D">
        <w:tc>
          <w:tcPr>
            <w:tcW w:w="1080" w:type="dxa"/>
          </w:tcPr>
          <w:p w:rsidR="00AD572D" w:rsidRDefault="00AD572D" w:rsidP="00AD572D">
            <w:pPr>
              <w:rPr>
                <w:b/>
              </w:rPr>
            </w:pPr>
            <w:r>
              <w:rPr>
                <w:b/>
              </w:rPr>
              <w:t xml:space="preserve">   Second</w:t>
            </w:r>
          </w:p>
        </w:tc>
        <w:tc>
          <w:tcPr>
            <w:tcW w:w="990" w:type="dxa"/>
          </w:tcPr>
          <w:p w:rsidR="00AD572D" w:rsidRPr="00A653EE" w:rsidRDefault="00AD572D" w:rsidP="00AD572D">
            <w:pPr>
              <w:jc w:val="right"/>
            </w:pPr>
            <w:r>
              <w:t>25,268</w:t>
            </w:r>
          </w:p>
        </w:tc>
        <w:tc>
          <w:tcPr>
            <w:tcW w:w="1080" w:type="dxa"/>
          </w:tcPr>
          <w:p w:rsidR="00AD572D" w:rsidRPr="00A653EE" w:rsidRDefault="00AD572D" w:rsidP="00AD572D">
            <w:pPr>
              <w:jc w:val="right"/>
            </w:pPr>
            <w:r>
              <w:t>45.90</w:t>
            </w:r>
          </w:p>
        </w:tc>
        <w:tc>
          <w:tcPr>
            <w:tcW w:w="990" w:type="dxa"/>
          </w:tcPr>
          <w:p w:rsidR="00AD572D" w:rsidRPr="00A653EE" w:rsidRDefault="00AD572D" w:rsidP="00AD572D">
            <w:pPr>
              <w:jc w:val="right"/>
            </w:pPr>
            <w:r>
              <w:t>27,187</w:t>
            </w:r>
          </w:p>
        </w:tc>
        <w:tc>
          <w:tcPr>
            <w:tcW w:w="900" w:type="dxa"/>
          </w:tcPr>
          <w:p w:rsidR="00AD572D" w:rsidRPr="00A653EE" w:rsidRDefault="00AD572D" w:rsidP="00AD572D">
            <w:pPr>
              <w:jc w:val="right"/>
            </w:pPr>
            <w:r>
              <w:t>36.06</w:t>
            </w:r>
          </w:p>
        </w:tc>
        <w:tc>
          <w:tcPr>
            <w:tcW w:w="990" w:type="dxa"/>
          </w:tcPr>
          <w:p w:rsidR="00AD572D" w:rsidRPr="00A653EE" w:rsidRDefault="00AD572D" w:rsidP="00AD572D">
            <w:pPr>
              <w:jc w:val="right"/>
            </w:pPr>
            <w:r>
              <w:t>24,336</w:t>
            </w:r>
          </w:p>
        </w:tc>
        <w:tc>
          <w:tcPr>
            <w:tcW w:w="1080" w:type="dxa"/>
          </w:tcPr>
          <w:p w:rsidR="00AD572D" w:rsidRPr="00A653EE" w:rsidRDefault="00AD572D" w:rsidP="00AD572D">
            <w:pPr>
              <w:jc w:val="right"/>
            </w:pPr>
            <w:r>
              <w:t>27.51</w:t>
            </w:r>
          </w:p>
        </w:tc>
        <w:tc>
          <w:tcPr>
            <w:tcW w:w="1170" w:type="dxa"/>
          </w:tcPr>
          <w:p w:rsidR="00AD572D" w:rsidRPr="00A653EE" w:rsidRDefault="00AD572D" w:rsidP="00AD572D">
            <w:pPr>
              <w:jc w:val="right"/>
            </w:pPr>
            <w:r>
              <w:t>27,449</w:t>
            </w:r>
          </w:p>
        </w:tc>
        <w:tc>
          <w:tcPr>
            <w:tcW w:w="990" w:type="dxa"/>
          </w:tcPr>
          <w:p w:rsidR="00AD572D" w:rsidRPr="00A653EE" w:rsidRDefault="00AD572D" w:rsidP="00AD572D">
            <w:pPr>
              <w:jc w:val="right"/>
            </w:pPr>
            <w:r>
              <w:t>26.18</w:t>
            </w:r>
          </w:p>
        </w:tc>
      </w:tr>
      <w:tr w:rsidR="00AD572D" w:rsidRPr="00A653EE" w:rsidTr="00AD572D">
        <w:tc>
          <w:tcPr>
            <w:tcW w:w="1080" w:type="dxa"/>
          </w:tcPr>
          <w:p w:rsidR="00AD572D" w:rsidRDefault="00AD572D" w:rsidP="00AD572D">
            <w:pPr>
              <w:rPr>
                <w:b/>
              </w:rPr>
            </w:pPr>
            <w:r>
              <w:rPr>
                <w:b/>
              </w:rPr>
              <w:t xml:space="preserve">   Third</w:t>
            </w:r>
          </w:p>
        </w:tc>
        <w:tc>
          <w:tcPr>
            <w:tcW w:w="990" w:type="dxa"/>
          </w:tcPr>
          <w:p w:rsidR="00AD572D" w:rsidRPr="00A653EE" w:rsidRDefault="00AD572D" w:rsidP="00AD572D">
            <w:pPr>
              <w:jc w:val="right"/>
            </w:pPr>
            <w:r>
              <w:t>40,950</w:t>
            </w:r>
          </w:p>
        </w:tc>
        <w:tc>
          <w:tcPr>
            <w:tcW w:w="1080" w:type="dxa"/>
          </w:tcPr>
          <w:p w:rsidR="00AD572D" w:rsidRPr="00A653EE" w:rsidRDefault="00AD572D" w:rsidP="00AD572D">
            <w:pPr>
              <w:jc w:val="right"/>
            </w:pPr>
            <w:r>
              <w:t>66.76</w:t>
            </w:r>
          </w:p>
        </w:tc>
        <w:tc>
          <w:tcPr>
            <w:tcW w:w="990" w:type="dxa"/>
          </w:tcPr>
          <w:p w:rsidR="00AD572D" w:rsidRPr="00A653EE" w:rsidRDefault="00AD572D" w:rsidP="00AD572D">
            <w:pPr>
              <w:jc w:val="right"/>
            </w:pPr>
            <w:r>
              <w:t>39,049</w:t>
            </w:r>
          </w:p>
        </w:tc>
        <w:tc>
          <w:tcPr>
            <w:tcW w:w="900" w:type="dxa"/>
          </w:tcPr>
          <w:p w:rsidR="00AD572D" w:rsidRPr="00A653EE" w:rsidRDefault="00AD572D" w:rsidP="00AD572D">
            <w:pPr>
              <w:jc w:val="right"/>
            </w:pPr>
            <w:r>
              <w:t>22.29</w:t>
            </w:r>
          </w:p>
        </w:tc>
        <w:tc>
          <w:tcPr>
            <w:tcW w:w="990" w:type="dxa"/>
          </w:tcPr>
          <w:p w:rsidR="00AD572D" w:rsidRPr="00A653EE" w:rsidRDefault="00AD572D" w:rsidP="00AD572D">
            <w:pPr>
              <w:jc w:val="right"/>
            </w:pPr>
            <w:r>
              <w:t>41,095</w:t>
            </w:r>
          </w:p>
        </w:tc>
        <w:tc>
          <w:tcPr>
            <w:tcW w:w="1080" w:type="dxa"/>
          </w:tcPr>
          <w:p w:rsidR="00AD572D" w:rsidRPr="00A653EE" w:rsidRDefault="00AD572D" w:rsidP="00AD572D">
            <w:pPr>
              <w:jc w:val="right"/>
            </w:pPr>
            <w:r>
              <w:t>56.10</w:t>
            </w:r>
          </w:p>
        </w:tc>
        <w:tc>
          <w:tcPr>
            <w:tcW w:w="1170" w:type="dxa"/>
          </w:tcPr>
          <w:p w:rsidR="00AD572D" w:rsidRPr="00A653EE" w:rsidRDefault="00AD572D" w:rsidP="00AD572D">
            <w:pPr>
              <w:jc w:val="right"/>
            </w:pPr>
            <w:r>
              <w:t>40,226</w:t>
            </w:r>
          </w:p>
        </w:tc>
        <w:tc>
          <w:tcPr>
            <w:tcW w:w="990" w:type="dxa"/>
          </w:tcPr>
          <w:p w:rsidR="00AD572D" w:rsidRPr="00A653EE" w:rsidRDefault="00AD572D" w:rsidP="00AD572D">
            <w:pPr>
              <w:jc w:val="right"/>
            </w:pPr>
            <w:r>
              <w:t>35.88</w:t>
            </w:r>
          </w:p>
        </w:tc>
      </w:tr>
      <w:tr w:rsidR="00AD572D" w:rsidRPr="00A653EE" w:rsidTr="00AD572D">
        <w:tc>
          <w:tcPr>
            <w:tcW w:w="1080" w:type="dxa"/>
          </w:tcPr>
          <w:p w:rsidR="00AD572D" w:rsidRDefault="00AD572D" w:rsidP="00AD572D">
            <w:pPr>
              <w:rPr>
                <w:b/>
              </w:rPr>
            </w:pPr>
            <w:r>
              <w:rPr>
                <w:b/>
              </w:rPr>
              <w:t xml:space="preserve">   Fourth</w:t>
            </w:r>
          </w:p>
        </w:tc>
        <w:tc>
          <w:tcPr>
            <w:tcW w:w="990" w:type="dxa"/>
          </w:tcPr>
          <w:p w:rsidR="00AD572D" w:rsidRPr="00A653EE" w:rsidRDefault="00AD572D" w:rsidP="00AD572D">
            <w:pPr>
              <w:jc w:val="right"/>
            </w:pPr>
            <w:r>
              <w:t>64,080</w:t>
            </w:r>
          </w:p>
        </w:tc>
        <w:tc>
          <w:tcPr>
            <w:tcW w:w="1080" w:type="dxa"/>
          </w:tcPr>
          <w:p w:rsidR="00AD572D" w:rsidRPr="00A653EE" w:rsidRDefault="00AD572D" w:rsidP="00AD572D">
            <w:pPr>
              <w:jc w:val="right"/>
            </w:pPr>
            <w:r>
              <w:t>69.61</w:t>
            </w:r>
          </w:p>
        </w:tc>
        <w:tc>
          <w:tcPr>
            <w:tcW w:w="990" w:type="dxa"/>
          </w:tcPr>
          <w:p w:rsidR="00AD572D" w:rsidRPr="00A653EE" w:rsidRDefault="00AD572D" w:rsidP="00AD572D">
            <w:pPr>
              <w:jc w:val="right"/>
            </w:pPr>
            <w:r>
              <w:t>55,931</w:t>
            </w:r>
          </w:p>
        </w:tc>
        <w:tc>
          <w:tcPr>
            <w:tcW w:w="900" w:type="dxa"/>
          </w:tcPr>
          <w:p w:rsidR="00AD572D" w:rsidRPr="00A653EE" w:rsidRDefault="00AD572D" w:rsidP="00AD572D">
            <w:pPr>
              <w:jc w:val="right"/>
            </w:pPr>
            <w:r>
              <w:t>58.37</w:t>
            </w:r>
          </w:p>
        </w:tc>
        <w:tc>
          <w:tcPr>
            <w:tcW w:w="990" w:type="dxa"/>
          </w:tcPr>
          <w:p w:rsidR="00AD572D" w:rsidRPr="00A653EE" w:rsidRDefault="00AD572D" w:rsidP="00AD572D">
            <w:pPr>
              <w:jc w:val="right"/>
            </w:pPr>
            <w:r>
              <w:t>66,518</w:t>
            </w:r>
          </w:p>
        </w:tc>
        <w:tc>
          <w:tcPr>
            <w:tcW w:w="1080" w:type="dxa"/>
          </w:tcPr>
          <w:p w:rsidR="00AD572D" w:rsidRPr="00A653EE" w:rsidRDefault="00AD572D" w:rsidP="00AD572D">
            <w:pPr>
              <w:jc w:val="right"/>
            </w:pPr>
            <w:r>
              <w:t>45.53</w:t>
            </w:r>
          </w:p>
        </w:tc>
        <w:tc>
          <w:tcPr>
            <w:tcW w:w="1170" w:type="dxa"/>
          </w:tcPr>
          <w:p w:rsidR="00AD572D" w:rsidRPr="00A653EE" w:rsidRDefault="00AD572D" w:rsidP="00AD572D">
            <w:pPr>
              <w:jc w:val="right"/>
            </w:pPr>
            <w:r>
              <w:t>58,727</w:t>
            </w:r>
          </w:p>
        </w:tc>
        <w:tc>
          <w:tcPr>
            <w:tcW w:w="990" w:type="dxa"/>
          </w:tcPr>
          <w:p w:rsidR="00AD572D" w:rsidRPr="00A653EE" w:rsidRDefault="00AD572D" w:rsidP="00AD572D">
            <w:pPr>
              <w:jc w:val="right"/>
            </w:pPr>
            <w:r>
              <w:t>46.12</w:t>
            </w:r>
          </w:p>
        </w:tc>
      </w:tr>
      <w:tr w:rsidR="00AD572D" w:rsidRPr="00A653EE" w:rsidTr="00AD572D">
        <w:trPr>
          <w:trHeight w:val="332"/>
        </w:trPr>
        <w:tc>
          <w:tcPr>
            <w:tcW w:w="1080" w:type="dxa"/>
          </w:tcPr>
          <w:p w:rsidR="00AD572D" w:rsidRDefault="00AD572D" w:rsidP="00AD572D">
            <w:pPr>
              <w:rPr>
                <w:b/>
              </w:rPr>
            </w:pPr>
            <w:r>
              <w:rPr>
                <w:b/>
              </w:rPr>
              <w:t>Top 1%</w:t>
            </w:r>
          </w:p>
        </w:tc>
        <w:tc>
          <w:tcPr>
            <w:tcW w:w="990" w:type="dxa"/>
          </w:tcPr>
          <w:p w:rsidR="00AD572D" w:rsidRPr="00A653EE" w:rsidRDefault="00AD572D" w:rsidP="00AD572D">
            <w:pPr>
              <w:jc w:val="right"/>
            </w:pPr>
            <w:r>
              <w:t>230,527</w:t>
            </w:r>
          </w:p>
        </w:tc>
        <w:tc>
          <w:tcPr>
            <w:tcW w:w="1080" w:type="dxa"/>
          </w:tcPr>
          <w:p w:rsidR="00AD572D" w:rsidRPr="00A653EE" w:rsidRDefault="00AD572D" w:rsidP="00AD572D">
            <w:pPr>
              <w:jc w:val="right"/>
            </w:pPr>
            <w:r>
              <w:t>1,146.32</w:t>
            </w:r>
          </w:p>
        </w:tc>
        <w:tc>
          <w:tcPr>
            <w:tcW w:w="990" w:type="dxa"/>
          </w:tcPr>
          <w:p w:rsidR="00AD572D" w:rsidRPr="00A653EE" w:rsidRDefault="00AD572D" w:rsidP="00AD572D">
            <w:pPr>
              <w:jc w:val="right"/>
            </w:pPr>
            <w:r>
              <w:t>166,654</w:t>
            </w:r>
          </w:p>
        </w:tc>
        <w:tc>
          <w:tcPr>
            <w:tcW w:w="900" w:type="dxa"/>
          </w:tcPr>
          <w:p w:rsidR="00AD572D" w:rsidRPr="00A653EE" w:rsidRDefault="00AD572D" w:rsidP="00AD572D">
            <w:pPr>
              <w:jc w:val="right"/>
            </w:pPr>
            <w:r>
              <w:t>773.64</w:t>
            </w:r>
          </w:p>
        </w:tc>
        <w:tc>
          <w:tcPr>
            <w:tcW w:w="990" w:type="dxa"/>
          </w:tcPr>
          <w:p w:rsidR="00AD572D" w:rsidRPr="00A653EE" w:rsidRDefault="00AD572D" w:rsidP="00AD572D">
            <w:pPr>
              <w:jc w:val="right"/>
            </w:pPr>
            <w:r>
              <w:t>257,456</w:t>
            </w:r>
          </w:p>
        </w:tc>
        <w:tc>
          <w:tcPr>
            <w:tcW w:w="1080" w:type="dxa"/>
          </w:tcPr>
          <w:p w:rsidR="00AD572D" w:rsidRPr="00A653EE" w:rsidRDefault="00AD572D" w:rsidP="00AD572D">
            <w:pPr>
              <w:jc w:val="right"/>
            </w:pPr>
            <w:r>
              <w:t>1,114.16</w:t>
            </w:r>
          </w:p>
        </w:tc>
        <w:tc>
          <w:tcPr>
            <w:tcW w:w="1170" w:type="dxa"/>
          </w:tcPr>
          <w:p w:rsidR="00AD572D" w:rsidRDefault="00AD572D" w:rsidP="00AD572D">
            <w:pPr>
              <w:jc w:val="right"/>
            </w:pPr>
            <w:r>
              <w:t>184,873</w:t>
            </w:r>
          </w:p>
        </w:tc>
        <w:tc>
          <w:tcPr>
            <w:tcW w:w="990" w:type="dxa"/>
          </w:tcPr>
          <w:p w:rsidR="00AD572D" w:rsidRDefault="00AD572D" w:rsidP="00AD572D">
            <w:pPr>
              <w:jc w:val="right"/>
            </w:pPr>
            <w:r>
              <w:t>615.89</w:t>
            </w:r>
          </w:p>
        </w:tc>
      </w:tr>
      <w:tr w:rsidR="00AD572D" w:rsidRPr="002126C7" w:rsidTr="00AD572D">
        <w:trPr>
          <w:trHeight w:val="332"/>
        </w:trPr>
        <w:tc>
          <w:tcPr>
            <w:tcW w:w="9270" w:type="dxa"/>
            <w:gridSpan w:val="9"/>
          </w:tcPr>
          <w:p w:rsidR="00AD572D" w:rsidRPr="00DA61FC" w:rsidRDefault="00AD572D" w:rsidP="00AD572D">
            <w:pPr>
              <w:rPr>
                <w:sz w:val="18"/>
                <w:szCs w:val="18"/>
              </w:rPr>
            </w:pPr>
            <w:r>
              <w:rPr>
                <w:sz w:val="18"/>
                <w:szCs w:val="18"/>
                <w:vertAlign w:val="superscript"/>
              </w:rPr>
              <w:t>1</w:t>
            </w:r>
            <w:r>
              <w:rPr>
                <w:sz w:val="18"/>
                <w:szCs w:val="18"/>
              </w:rPr>
              <w:t xml:space="preserve"> All numbers are in 2015 dollars.</w:t>
            </w:r>
          </w:p>
          <w:p w:rsidR="00AD572D" w:rsidRDefault="00AD572D" w:rsidP="00AD572D">
            <w:pPr>
              <w:rPr>
                <w:sz w:val="18"/>
                <w:szCs w:val="18"/>
              </w:rPr>
            </w:pPr>
            <w:r>
              <w:rPr>
                <w:sz w:val="18"/>
                <w:szCs w:val="18"/>
              </w:rPr>
              <w:t>Source: 2005 and 2015 American Community Survey. For more information on the ACS, see census.gov/</w:t>
            </w:r>
            <w:proofErr w:type="spellStart"/>
            <w:r>
              <w:rPr>
                <w:sz w:val="18"/>
                <w:szCs w:val="18"/>
              </w:rPr>
              <w:t>acs</w:t>
            </w:r>
            <w:proofErr w:type="spellEnd"/>
            <w:r>
              <w:rPr>
                <w:sz w:val="18"/>
                <w:szCs w:val="18"/>
              </w:rPr>
              <w:t>.</w:t>
            </w:r>
          </w:p>
        </w:tc>
      </w:tr>
    </w:tbl>
    <w:p w:rsidR="00AD572D" w:rsidRDefault="00AD572D" w:rsidP="000635EF">
      <w:pPr>
        <w:spacing w:line="360" w:lineRule="auto"/>
        <w:ind w:firstLine="720"/>
        <w:rPr>
          <w:rFonts w:ascii="Calibri" w:eastAsia="Times New Roman" w:hAnsi="Calibri" w:cs="Times New Roman"/>
          <w:color w:val="000000"/>
        </w:rPr>
      </w:pPr>
    </w:p>
    <w:p w:rsidR="007245FD" w:rsidRDefault="00F41195" w:rsidP="00A412B5">
      <w:pPr>
        <w:spacing w:line="360" w:lineRule="auto"/>
        <w:ind w:firstLine="720"/>
        <w:rPr>
          <w:rFonts w:ascii="Calibri" w:eastAsia="Times New Roman" w:hAnsi="Calibri" w:cs="Times New Roman"/>
          <w:color w:val="000000"/>
        </w:rPr>
      </w:pPr>
      <w:r>
        <w:rPr>
          <w:rFonts w:ascii="Calibri" w:eastAsia="Times New Roman" w:hAnsi="Calibri" w:cs="Times New Roman"/>
          <w:color w:val="000000"/>
        </w:rPr>
        <w:t>In Tables 2</w:t>
      </w:r>
      <w:r w:rsidR="00D85F54" w:rsidRPr="00176E8C">
        <w:rPr>
          <w:rFonts w:ascii="Calibri" w:eastAsia="Times New Roman" w:hAnsi="Calibri" w:cs="Times New Roman"/>
          <w:color w:val="000000"/>
        </w:rPr>
        <w:t xml:space="preserve"> a</w:t>
      </w:r>
      <w:r>
        <w:rPr>
          <w:rFonts w:ascii="Calibri" w:eastAsia="Times New Roman" w:hAnsi="Calibri" w:cs="Times New Roman"/>
          <w:color w:val="000000"/>
        </w:rPr>
        <w:t>nd 3</w:t>
      </w:r>
      <w:r w:rsidR="00D85F54" w:rsidRPr="00176E8C">
        <w:rPr>
          <w:rFonts w:ascii="Calibri" w:eastAsia="Times New Roman" w:hAnsi="Calibri" w:cs="Times New Roman"/>
          <w:color w:val="000000"/>
        </w:rPr>
        <w:t xml:space="preserve">, </w:t>
      </w:r>
      <w:r w:rsidR="00176E8C">
        <w:rPr>
          <w:rFonts w:ascii="Calibri" w:eastAsia="Times New Roman" w:hAnsi="Calibri" w:cs="Times New Roman"/>
          <w:color w:val="000000"/>
        </w:rPr>
        <w:t>the immediate takeaway is that the effect of government programs on income inequality has increased over t</w:t>
      </w:r>
      <w:r>
        <w:rPr>
          <w:rFonts w:ascii="Calibri" w:eastAsia="Times New Roman" w:hAnsi="Calibri" w:cs="Times New Roman"/>
          <w:color w:val="000000"/>
        </w:rPr>
        <w:t>ime.  In Table 2</w:t>
      </w:r>
      <w:r w:rsidR="005F5B1C">
        <w:rPr>
          <w:rFonts w:ascii="Calibri" w:eastAsia="Times New Roman" w:hAnsi="Calibri" w:cs="Times New Roman"/>
          <w:color w:val="000000"/>
        </w:rPr>
        <w:t>, nine</w:t>
      </w:r>
      <w:r w:rsidR="00176E8C">
        <w:rPr>
          <w:rFonts w:ascii="Calibri" w:eastAsia="Times New Roman" w:hAnsi="Calibri" w:cs="Times New Roman"/>
          <w:color w:val="000000"/>
        </w:rPr>
        <w:t xml:space="preserve"> income ine</w:t>
      </w:r>
      <w:r w:rsidR="00DB3EFA">
        <w:rPr>
          <w:rFonts w:ascii="Calibri" w:eastAsia="Times New Roman" w:hAnsi="Calibri" w:cs="Times New Roman"/>
          <w:color w:val="000000"/>
        </w:rPr>
        <w:t xml:space="preserve">quality metrics are listed </w:t>
      </w:r>
      <w:r w:rsidR="00CD6C6C">
        <w:rPr>
          <w:rFonts w:ascii="Calibri" w:eastAsia="Times New Roman" w:hAnsi="Calibri" w:cs="Times New Roman"/>
          <w:color w:val="000000"/>
        </w:rPr>
        <w:t xml:space="preserve">based on the </w:t>
      </w:r>
      <w:r w:rsidR="00B725DA">
        <w:rPr>
          <w:rFonts w:ascii="Calibri" w:eastAsia="Times New Roman" w:hAnsi="Calibri" w:cs="Times New Roman"/>
          <w:color w:val="000000"/>
        </w:rPr>
        <w:t>percent</w:t>
      </w:r>
      <w:r w:rsidR="00176E8C">
        <w:rPr>
          <w:rFonts w:ascii="Calibri" w:eastAsia="Times New Roman" w:hAnsi="Calibri" w:cs="Times New Roman"/>
          <w:color w:val="000000"/>
        </w:rPr>
        <w:t xml:space="preserve"> change in the difference between pre-tax, pre-transfer income inequality and after-tax, after-transfer income inequality from 2005 to 2015.</w:t>
      </w:r>
      <w:r w:rsidR="00B725DA">
        <w:rPr>
          <w:rStyle w:val="FootnoteReference"/>
          <w:rFonts w:ascii="Calibri" w:eastAsia="Times New Roman" w:hAnsi="Calibri" w:cs="Times New Roman"/>
          <w:color w:val="000000"/>
        </w:rPr>
        <w:footnoteReference w:id="9"/>
      </w:r>
      <w:r w:rsidR="007245FD">
        <w:rPr>
          <w:rFonts w:ascii="Calibri" w:eastAsia="Times New Roman" w:hAnsi="Calibri" w:cs="Times New Roman"/>
          <w:color w:val="000000"/>
        </w:rPr>
        <w:t xml:space="preserve"> Each difference between pre-tax, pre-transfer and after-tax, after-transfer income inequality is positive and statistically significant.  This means that income inequality is higher before taxes and transfers are taken into account for each metric.</w:t>
      </w:r>
    </w:p>
    <w:p w:rsidR="00176E8C" w:rsidRDefault="007245FD" w:rsidP="00A412B5">
      <w:pPr>
        <w:spacing w:line="360" w:lineRule="auto"/>
        <w:ind w:firstLine="720"/>
        <w:rPr>
          <w:rFonts w:ascii="Calibri" w:eastAsia="Times New Roman" w:hAnsi="Calibri" w:cs="Times New Roman"/>
          <w:color w:val="000000"/>
        </w:rPr>
      </w:pPr>
      <w:r>
        <w:rPr>
          <w:rFonts w:ascii="Calibri" w:eastAsia="Times New Roman" w:hAnsi="Calibri" w:cs="Times New Roman"/>
          <w:color w:val="000000"/>
        </w:rPr>
        <w:t>Furthermore, e</w:t>
      </w:r>
      <w:r w:rsidR="00176E8C">
        <w:rPr>
          <w:rFonts w:ascii="Calibri" w:eastAsia="Times New Roman" w:hAnsi="Calibri" w:cs="Times New Roman"/>
          <w:color w:val="000000"/>
        </w:rPr>
        <w:t>ach change</w:t>
      </w:r>
      <w:r>
        <w:rPr>
          <w:rFonts w:ascii="Calibri" w:eastAsia="Times New Roman" w:hAnsi="Calibri" w:cs="Times New Roman"/>
          <w:color w:val="000000"/>
        </w:rPr>
        <w:t xml:space="preserve"> in metric over the time period</w:t>
      </w:r>
      <w:r w:rsidR="00176E8C">
        <w:rPr>
          <w:rFonts w:ascii="Calibri" w:eastAsia="Times New Roman" w:hAnsi="Calibri" w:cs="Times New Roman"/>
          <w:color w:val="000000"/>
        </w:rPr>
        <w:t xml:space="preserve"> is positive and statistically significant. This means that there is a widening gap for each income inequality</w:t>
      </w:r>
      <w:r w:rsidR="005F5B1C">
        <w:rPr>
          <w:rFonts w:ascii="Calibri" w:eastAsia="Times New Roman" w:hAnsi="Calibri" w:cs="Times New Roman"/>
          <w:color w:val="000000"/>
        </w:rPr>
        <w:t xml:space="preserve"> metric between</w:t>
      </w:r>
      <w:r w:rsidR="00176E8C">
        <w:rPr>
          <w:rFonts w:ascii="Calibri" w:eastAsia="Times New Roman" w:hAnsi="Calibri" w:cs="Times New Roman"/>
          <w:color w:val="000000"/>
        </w:rPr>
        <w:t xml:space="preserve"> the different measures of household income</w:t>
      </w:r>
      <w:r w:rsidR="002126C7">
        <w:rPr>
          <w:rFonts w:ascii="Calibri" w:eastAsia="Times New Roman" w:hAnsi="Calibri" w:cs="Times New Roman"/>
          <w:color w:val="000000"/>
        </w:rPr>
        <w:t xml:space="preserve">.  </w:t>
      </w:r>
    </w:p>
    <w:p w:rsidR="005F5B1C" w:rsidRDefault="005F5B1C" w:rsidP="00A412B5">
      <w:pPr>
        <w:spacing w:line="360" w:lineRule="auto"/>
        <w:ind w:firstLine="720"/>
        <w:rPr>
          <w:rFonts w:ascii="Calibri" w:eastAsia="Times New Roman" w:hAnsi="Calibri" w:cs="Times New Roman"/>
          <w:color w:val="000000"/>
        </w:rPr>
      </w:pPr>
      <w:r>
        <w:rPr>
          <w:rFonts w:ascii="Calibri" w:eastAsia="Times New Roman" w:hAnsi="Calibri" w:cs="Times New Roman"/>
          <w:color w:val="000000"/>
        </w:rPr>
        <w:t xml:space="preserve">Although </w:t>
      </w:r>
      <w:r w:rsidR="00F9646B">
        <w:rPr>
          <w:rFonts w:ascii="Calibri" w:eastAsia="Times New Roman" w:hAnsi="Calibri" w:cs="Times New Roman"/>
          <w:color w:val="000000"/>
        </w:rPr>
        <w:t>there is an increase over time</w:t>
      </w:r>
      <w:r>
        <w:rPr>
          <w:rFonts w:ascii="Calibri" w:eastAsia="Times New Roman" w:hAnsi="Calibri" w:cs="Times New Roman"/>
          <w:color w:val="000000"/>
        </w:rPr>
        <w:t xml:space="preserve"> in </w:t>
      </w:r>
      <w:r w:rsidR="00F9646B">
        <w:rPr>
          <w:rFonts w:ascii="Calibri" w:eastAsia="Times New Roman" w:hAnsi="Calibri" w:cs="Times New Roman"/>
          <w:color w:val="000000"/>
        </w:rPr>
        <w:t xml:space="preserve">the difference in </w:t>
      </w:r>
      <w:r>
        <w:rPr>
          <w:rFonts w:ascii="Calibri" w:eastAsia="Times New Roman" w:hAnsi="Calibri" w:cs="Times New Roman"/>
          <w:color w:val="000000"/>
        </w:rPr>
        <w:t xml:space="preserve">income inequality </w:t>
      </w:r>
      <w:r w:rsidR="00F9646B">
        <w:rPr>
          <w:rFonts w:ascii="Calibri" w:eastAsia="Times New Roman" w:hAnsi="Calibri" w:cs="Times New Roman"/>
          <w:color w:val="000000"/>
        </w:rPr>
        <w:t>between pre-tax, pre-transfer income and after-tax, after-transfer income</w:t>
      </w:r>
      <w:r>
        <w:rPr>
          <w:rFonts w:ascii="Calibri" w:eastAsia="Times New Roman" w:hAnsi="Calibri" w:cs="Times New Roman"/>
          <w:color w:val="000000"/>
        </w:rPr>
        <w:t xml:space="preserve">, this increase varies significantly across the different metrics.  </w:t>
      </w:r>
      <w:r w:rsidR="006B4D07">
        <w:rPr>
          <w:rFonts w:ascii="Calibri" w:eastAsia="Times New Roman" w:hAnsi="Calibri" w:cs="Times New Roman"/>
          <w:color w:val="000000"/>
        </w:rPr>
        <w:t xml:space="preserve">Looking at the extremes, there is a </w:t>
      </w:r>
      <w:r w:rsidR="005141AA">
        <w:rPr>
          <w:rFonts w:ascii="Calibri" w:eastAsia="Times New Roman" w:hAnsi="Calibri" w:cs="Times New Roman"/>
          <w:color w:val="000000"/>
        </w:rPr>
        <w:t xml:space="preserve">23 or </w:t>
      </w:r>
      <w:r w:rsidR="006B4D07">
        <w:rPr>
          <w:rFonts w:ascii="Calibri" w:eastAsia="Times New Roman" w:hAnsi="Calibri" w:cs="Times New Roman"/>
          <w:color w:val="000000"/>
        </w:rPr>
        <w:t>24 percent increase in the</w:t>
      </w:r>
      <w:r w:rsidR="00EC1604">
        <w:rPr>
          <w:rFonts w:ascii="Calibri" w:eastAsia="Times New Roman" w:hAnsi="Calibri" w:cs="Times New Roman"/>
          <w:color w:val="000000"/>
        </w:rPr>
        <w:t xml:space="preserve"> effect of taxes and transfers on household income inequality</w:t>
      </w:r>
      <w:r w:rsidR="006B4D07">
        <w:rPr>
          <w:rFonts w:ascii="Calibri" w:eastAsia="Times New Roman" w:hAnsi="Calibri" w:cs="Times New Roman"/>
          <w:color w:val="000000"/>
        </w:rPr>
        <w:t xml:space="preserve"> over the time period when income inequality is measured </w:t>
      </w:r>
      <w:r w:rsidR="006B4D07">
        <w:rPr>
          <w:rFonts w:ascii="Calibri" w:eastAsia="Times New Roman" w:hAnsi="Calibri" w:cs="Times New Roman"/>
          <w:color w:val="000000"/>
        </w:rPr>
        <w:lastRenderedPageBreak/>
        <w:t xml:space="preserve">using the </w:t>
      </w:r>
      <w:r w:rsidR="005141AA">
        <w:rPr>
          <w:rFonts w:ascii="Calibri" w:eastAsia="Times New Roman" w:hAnsi="Calibri" w:cs="Times New Roman"/>
          <w:color w:val="000000"/>
        </w:rPr>
        <w:t xml:space="preserve">90-10 Ratio or </w:t>
      </w:r>
      <w:r w:rsidR="006B4D07">
        <w:rPr>
          <w:rFonts w:ascii="Calibri" w:eastAsia="Times New Roman" w:hAnsi="Calibri" w:cs="Times New Roman"/>
          <w:color w:val="000000"/>
        </w:rPr>
        <w:t>Palma Ratio</w:t>
      </w:r>
      <w:r w:rsidR="005141AA">
        <w:rPr>
          <w:rFonts w:ascii="Calibri" w:eastAsia="Times New Roman" w:hAnsi="Calibri" w:cs="Times New Roman"/>
          <w:color w:val="000000"/>
        </w:rPr>
        <w:t xml:space="preserve"> respectively</w:t>
      </w:r>
      <w:r w:rsidR="00B725DA">
        <w:rPr>
          <w:rStyle w:val="FootnoteReference"/>
          <w:rFonts w:ascii="Calibri" w:eastAsia="Times New Roman" w:hAnsi="Calibri" w:cs="Times New Roman"/>
          <w:color w:val="000000"/>
        </w:rPr>
        <w:footnoteReference w:id="10"/>
      </w:r>
      <w:r w:rsidR="006B4D07">
        <w:rPr>
          <w:rFonts w:ascii="Calibri" w:eastAsia="Times New Roman" w:hAnsi="Calibri" w:cs="Times New Roman"/>
          <w:color w:val="000000"/>
        </w:rPr>
        <w:t>, but this percentage increase is only 9 percent when income inequality is measured using the Gini Index.</w:t>
      </w:r>
    </w:p>
    <w:p w:rsidR="001D5C0A" w:rsidRDefault="00E31FB8" w:rsidP="00C36226">
      <w:pPr>
        <w:spacing w:line="360" w:lineRule="auto"/>
        <w:ind w:firstLine="720"/>
        <w:rPr>
          <w:rFonts w:ascii="Calibri" w:eastAsia="Times New Roman" w:hAnsi="Calibri" w:cs="Times New Roman"/>
          <w:color w:val="000000"/>
        </w:rPr>
      </w:pPr>
      <w:r>
        <w:rPr>
          <w:rFonts w:ascii="Calibri" w:eastAsia="Times New Roman" w:hAnsi="Calibri" w:cs="Times New Roman"/>
          <w:color w:val="000000"/>
        </w:rPr>
        <w:t xml:space="preserve">The largest change in metric over time occurs with the Palma Ratio and the 90-10 Ratio, which </w:t>
      </w:r>
      <w:r w:rsidR="00DD23DC">
        <w:rPr>
          <w:rFonts w:ascii="Calibri" w:eastAsia="Times New Roman" w:hAnsi="Calibri" w:cs="Times New Roman"/>
          <w:color w:val="000000"/>
        </w:rPr>
        <w:t xml:space="preserve"> are metrics that </w:t>
      </w:r>
      <w:r w:rsidR="00167578">
        <w:rPr>
          <w:rFonts w:ascii="Calibri" w:eastAsia="Times New Roman" w:hAnsi="Calibri" w:cs="Times New Roman"/>
          <w:color w:val="000000"/>
        </w:rPr>
        <w:t>focus on the differences between the top and the bottom of the income distribution.  It makes sense that the biggest changes would happen with these since taxes are progressive in nature and transfers are significantly more likely to go to those in the bottom of the distribution.  The Gini</w:t>
      </w:r>
      <w:r w:rsidR="00BF7E46">
        <w:rPr>
          <w:rFonts w:ascii="Calibri" w:eastAsia="Times New Roman" w:hAnsi="Calibri" w:cs="Times New Roman"/>
          <w:color w:val="000000"/>
        </w:rPr>
        <w:t xml:space="preserve"> Index</w:t>
      </w:r>
      <w:r w:rsidR="00167578">
        <w:rPr>
          <w:rFonts w:ascii="Calibri" w:eastAsia="Times New Roman" w:hAnsi="Calibri" w:cs="Times New Roman"/>
          <w:color w:val="000000"/>
        </w:rPr>
        <w:t xml:space="preserve"> being last makes sense as well since previous studies have found that the metric is insensitive to changes in the extremes of the income distribution.</w:t>
      </w:r>
    </w:p>
    <w:tbl>
      <w:tblPr>
        <w:tblStyle w:val="TableGrid"/>
        <w:tblW w:w="0" w:type="auto"/>
        <w:tblInd w:w="585" w:type="dxa"/>
        <w:tblLook w:val="04A0" w:firstRow="1" w:lastRow="0" w:firstColumn="1" w:lastColumn="0" w:noHBand="0" w:noVBand="1"/>
      </w:tblPr>
      <w:tblGrid>
        <w:gridCol w:w="1049"/>
        <w:gridCol w:w="1279"/>
        <w:gridCol w:w="1007"/>
        <w:gridCol w:w="1240"/>
        <w:gridCol w:w="1007"/>
        <w:gridCol w:w="1075"/>
        <w:gridCol w:w="1047"/>
      </w:tblGrid>
      <w:tr w:rsidR="00DD01D6" w:rsidTr="00E31FB8">
        <w:tc>
          <w:tcPr>
            <w:tcW w:w="7704" w:type="dxa"/>
            <w:gridSpan w:val="7"/>
          </w:tcPr>
          <w:p w:rsidR="00DD01D6" w:rsidRPr="00DD01D6" w:rsidRDefault="00F41195" w:rsidP="004554A0">
            <w:pPr>
              <w:pStyle w:val="ListParagraph"/>
              <w:ind w:left="1080"/>
              <w:rPr>
                <w:b/>
              </w:rPr>
            </w:pPr>
            <w:r>
              <w:rPr>
                <w:b/>
              </w:rPr>
              <w:t>Table 2</w:t>
            </w:r>
            <w:r w:rsidR="00DD01D6" w:rsidRPr="00DD01D6">
              <w:rPr>
                <w:b/>
              </w:rPr>
              <w:t>: Difference between pre-tax, pre-transfer metric and after-tax, after-transfer metric over time</w:t>
            </w:r>
          </w:p>
        </w:tc>
      </w:tr>
      <w:tr w:rsidR="00DD01D6" w:rsidTr="00E31FB8">
        <w:tc>
          <w:tcPr>
            <w:tcW w:w="1049" w:type="dxa"/>
          </w:tcPr>
          <w:p w:rsidR="00DD01D6" w:rsidRDefault="00DD01D6" w:rsidP="00DD01D6">
            <w:pPr>
              <w:jc w:val="center"/>
              <w:rPr>
                <w:b/>
              </w:rPr>
            </w:pPr>
          </w:p>
        </w:tc>
        <w:tc>
          <w:tcPr>
            <w:tcW w:w="2286" w:type="dxa"/>
            <w:gridSpan w:val="2"/>
          </w:tcPr>
          <w:p w:rsidR="00DD01D6" w:rsidRDefault="00DD01D6" w:rsidP="00DD01D6">
            <w:pPr>
              <w:jc w:val="center"/>
              <w:rPr>
                <w:b/>
              </w:rPr>
            </w:pPr>
            <w:r>
              <w:rPr>
                <w:b/>
              </w:rPr>
              <w:t>2005</w:t>
            </w:r>
          </w:p>
        </w:tc>
        <w:tc>
          <w:tcPr>
            <w:tcW w:w="2247" w:type="dxa"/>
            <w:gridSpan w:val="2"/>
          </w:tcPr>
          <w:p w:rsidR="00DD01D6" w:rsidRDefault="00DD01D6" w:rsidP="00DD01D6">
            <w:pPr>
              <w:jc w:val="center"/>
              <w:rPr>
                <w:b/>
              </w:rPr>
            </w:pPr>
            <w:r>
              <w:rPr>
                <w:b/>
              </w:rPr>
              <w:t>2015</w:t>
            </w:r>
          </w:p>
        </w:tc>
        <w:tc>
          <w:tcPr>
            <w:tcW w:w="2122" w:type="dxa"/>
            <w:gridSpan w:val="2"/>
          </w:tcPr>
          <w:p w:rsidR="00DD01D6" w:rsidRDefault="00DD01D6" w:rsidP="00DD01D6">
            <w:pPr>
              <w:jc w:val="center"/>
              <w:rPr>
                <w:b/>
              </w:rPr>
            </w:pPr>
            <w:r>
              <w:rPr>
                <w:b/>
              </w:rPr>
              <w:t>Change in metric</w:t>
            </w:r>
          </w:p>
        </w:tc>
      </w:tr>
      <w:tr w:rsidR="00E31FB8" w:rsidTr="00841C9D">
        <w:tc>
          <w:tcPr>
            <w:tcW w:w="1049" w:type="dxa"/>
          </w:tcPr>
          <w:p w:rsidR="00E31FB8" w:rsidRDefault="00E31FB8" w:rsidP="00DD01D6">
            <w:pPr>
              <w:jc w:val="center"/>
              <w:rPr>
                <w:b/>
              </w:rPr>
            </w:pPr>
          </w:p>
        </w:tc>
        <w:tc>
          <w:tcPr>
            <w:tcW w:w="1279" w:type="dxa"/>
          </w:tcPr>
          <w:p w:rsidR="00E31FB8" w:rsidRDefault="00E31FB8" w:rsidP="002126C7">
            <w:pPr>
              <w:jc w:val="center"/>
              <w:rPr>
                <w:b/>
              </w:rPr>
            </w:pPr>
            <w:r>
              <w:rPr>
                <w:b/>
              </w:rPr>
              <w:t>Difference</w:t>
            </w:r>
            <w:r w:rsidRPr="00EB4052">
              <w:rPr>
                <w:b/>
                <w:vertAlign w:val="superscript"/>
              </w:rPr>
              <w:t>1</w:t>
            </w:r>
          </w:p>
        </w:tc>
        <w:tc>
          <w:tcPr>
            <w:tcW w:w="1007" w:type="dxa"/>
          </w:tcPr>
          <w:p w:rsidR="00E31FB8" w:rsidRDefault="00841C9D" w:rsidP="00DD01D6">
            <w:pPr>
              <w:jc w:val="center"/>
              <w:rPr>
                <w:b/>
              </w:rPr>
            </w:pPr>
            <w:r>
              <w:rPr>
                <w:b/>
              </w:rPr>
              <w:t>Std. Err</w:t>
            </w:r>
          </w:p>
        </w:tc>
        <w:tc>
          <w:tcPr>
            <w:tcW w:w="1240" w:type="dxa"/>
          </w:tcPr>
          <w:p w:rsidR="00E31FB8" w:rsidRDefault="00E31FB8" w:rsidP="00DD01D6">
            <w:pPr>
              <w:jc w:val="center"/>
              <w:rPr>
                <w:b/>
              </w:rPr>
            </w:pPr>
            <w:r>
              <w:rPr>
                <w:b/>
              </w:rPr>
              <w:t>Difference</w:t>
            </w:r>
            <w:r w:rsidRPr="00EB4052">
              <w:rPr>
                <w:b/>
                <w:vertAlign w:val="superscript"/>
              </w:rPr>
              <w:t>1</w:t>
            </w:r>
          </w:p>
        </w:tc>
        <w:tc>
          <w:tcPr>
            <w:tcW w:w="1007" w:type="dxa"/>
          </w:tcPr>
          <w:p w:rsidR="00E31FB8" w:rsidRDefault="00841C9D" w:rsidP="00DD01D6">
            <w:pPr>
              <w:jc w:val="center"/>
              <w:rPr>
                <w:b/>
              </w:rPr>
            </w:pPr>
            <w:r>
              <w:rPr>
                <w:b/>
              </w:rPr>
              <w:t>Std. Err</w:t>
            </w:r>
          </w:p>
        </w:tc>
        <w:tc>
          <w:tcPr>
            <w:tcW w:w="1075" w:type="dxa"/>
          </w:tcPr>
          <w:p w:rsidR="00E31FB8" w:rsidRDefault="00E31FB8" w:rsidP="00DD01D6">
            <w:pPr>
              <w:jc w:val="center"/>
              <w:rPr>
                <w:b/>
              </w:rPr>
            </w:pPr>
            <w:r>
              <w:rPr>
                <w:b/>
              </w:rPr>
              <w:t>Percent</w:t>
            </w:r>
          </w:p>
        </w:tc>
        <w:tc>
          <w:tcPr>
            <w:tcW w:w="1047" w:type="dxa"/>
          </w:tcPr>
          <w:p w:rsidR="00E31FB8" w:rsidRDefault="00841C9D" w:rsidP="00DD01D6">
            <w:pPr>
              <w:jc w:val="center"/>
              <w:rPr>
                <w:b/>
              </w:rPr>
            </w:pPr>
            <w:r>
              <w:rPr>
                <w:b/>
              </w:rPr>
              <w:t>Std. Err</w:t>
            </w:r>
          </w:p>
        </w:tc>
      </w:tr>
      <w:tr w:rsidR="00E31FB8" w:rsidTr="00841C9D">
        <w:tc>
          <w:tcPr>
            <w:tcW w:w="1049" w:type="dxa"/>
          </w:tcPr>
          <w:p w:rsidR="00E31FB8" w:rsidRDefault="00E31FB8" w:rsidP="00DD01D6">
            <w:pPr>
              <w:jc w:val="center"/>
              <w:rPr>
                <w:b/>
              </w:rPr>
            </w:pPr>
            <w:r>
              <w:rPr>
                <w:b/>
              </w:rPr>
              <w:t>Palma</w:t>
            </w:r>
          </w:p>
        </w:tc>
        <w:tc>
          <w:tcPr>
            <w:tcW w:w="1279" w:type="dxa"/>
          </w:tcPr>
          <w:p w:rsidR="00E31FB8" w:rsidRPr="00A653EE" w:rsidRDefault="00E31FB8" w:rsidP="004554A0">
            <w:pPr>
              <w:jc w:val="right"/>
            </w:pPr>
            <w:r w:rsidRPr="00A653EE">
              <w:t>0.93662</w:t>
            </w:r>
            <w:r w:rsidR="009E3B0E">
              <w:t>*</w:t>
            </w:r>
          </w:p>
        </w:tc>
        <w:tc>
          <w:tcPr>
            <w:tcW w:w="1007" w:type="dxa"/>
          </w:tcPr>
          <w:p w:rsidR="00E31FB8" w:rsidRPr="00A653EE" w:rsidRDefault="00E31FB8" w:rsidP="004554A0">
            <w:pPr>
              <w:jc w:val="right"/>
            </w:pPr>
            <w:r w:rsidRPr="00A653EE">
              <w:t>0.00672</w:t>
            </w:r>
          </w:p>
        </w:tc>
        <w:tc>
          <w:tcPr>
            <w:tcW w:w="1240" w:type="dxa"/>
          </w:tcPr>
          <w:p w:rsidR="00E31FB8" w:rsidRPr="00A653EE" w:rsidRDefault="00E31FB8" w:rsidP="004554A0">
            <w:pPr>
              <w:jc w:val="right"/>
            </w:pPr>
            <w:r w:rsidRPr="00A653EE">
              <w:t>1.16537</w:t>
            </w:r>
            <w:r w:rsidR="009E3B0E">
              <w:t>*</w:t>
            </w:r>
          </w:p>
        </w:tc>
        <w:tc>
          <w:tcPr>
            <w:tcW w:w="1007" w:type="dxa"/>
          </w:tcPr>
          <w:p w:rsidR="00E31FB8" w:rsidRPr="00A653EE" w:rsidRDefault="00E31FB8" w:rsidP="004554A0">
            <w:pPr>
              <w:jc w:val="right"/>
            </w:pPr>
            <w:r w:rsidRPr="00A653EE">
              <w:t>0.00511</w:t>
            </w:r>
          </w:p>
        </w:tc>
        <w:tc>
          <w:tcPr>
            <w:tcW w:w="1075" w:type="dxa"/>
          </w:tcPr>
          <w:p w:rsidR="00E31FB8" w:rsidRPr="00A653EE" w:rsidRDefault="00E31FB8" w:rsidP="004554A0">
            <w:pPr>
              <w:jc w:val="right"/>
            </w:pPr>
            <w:r w:rsidRPr="00A653EE">
              <w:t>24.42</w:t>
            </w:r>
            <w:r w:rsidR="009E3B0E">
              <w:t>*</w:t>
            </w:r>
          </w:p>
        </w:tc>
        <w:tc>
          <w:tcPr>
            <w:tcW w:w="1047" w:type="dxa"/>
            <w:vAlign w:val="bottom"/>
          </w:tcPr>
          <w:p w:rsidR="00E31FB8" w:rsidRDefault="00E31FB8">
            <w:pPr>
              <w:jc w:val="right"/>
              <w:rPr>
                <w:rFonts w:ascii="Calibri" w:hAnsi="Calibri"/>
                <w:color w:val="000000"/>
              </w:rPr>
            </w:pPr>
            <w:r>
              <w:rPr>
                <w:rFonts w:ascii="Calibri" w:hAnsi="Calibri"/>
                <w:color w:val="000000"/>
              </w:rPr>
              <w:t>1.04622</w:t>
            </w:r>
          </w:p>
        </w:tc>
      </w:tr>
      <w:tr w:rsidR="00E31FB8" w:rsidTr="00841C9D">
        <w:tc>
          <w:tcPr>
            <w:tcW w:w="1049" w:type="dxa"/>
          </w:tcPr>
          <w:p w:rsidR="00E31FB8" w:rsidRDefault="00E31FB8" w:rsidP="00DD01D6">
            <w:pPr>
              <w:jc w:val="center"/>
              <w:rPr>
                <w:b/>
              </w:rPr>
            </w:pPr>
            <w:r>
              <w:rPr>
                <w:b/>
              </w:rPr>
              <w:t>90-10</w:t>
            </w:r>
          </w:p>
        </w:tc>
        <w:tc>
          <w:tcPr>
            <w:tcW w:w="1279" w:type="dxa"/>
          </w:tcPr>
          <w:p w:rsidR="00E31FB8" w:rsidRPr="00A653EE" w:rsidRDefault="00E31FB8" w:rsidP="004554A0">
            <w:pPr>
              <w:jc w:val="right"/>
            </w:pPr>
            <w:r w:rsidRPr="00A653EE">
              <w:t>5.33983</w:t>
            </w:r>
            <w:r w:rsidR="009E3B0E">
              <w:t>*</w:t>
            </w:r>
          </w:p>
        </w:tc>
        <w:tc>
          <w:tcPr>
            <w:tcW w:w="1007" w:type="dxa"/>
          </w:tcPr>
          <w:p w:rsidR="00E31FB8" w:rsidRPr="00A653EE" w:rsidRDefault="00E31FB8" w:rsidP="004554A0">
            <w:pPr>
              <w:jc w:val="right"/>
            </w:pPr>
            <w:r w:rsidRPr="00A653EE">
              <w:t>0.00113</w:t>
            </w:r>
          </w:p>
        </w:tc>
        <w:tc>
          <w:tcPr>
            <w:tcW w:w="1240" w:type="dxa"/>
          </w:tcPr>
          <w:p w:rsidR="00E31FB8" w:rsidRPr="00A653EE" w:rsidRDefault="00E31FB8" w:rsidP="004554A0">
            <w:pPr>
              <w:jc w:val="right"/>
            </w:pPr>
            <w:r w:rsidRPr="00A653EE">
              <w:t>6.57481</w:t>
            </w:r>
            <w:r w:rsidR="009E3B0E">
              <w:t>*</w:t>
            </w:r>
          </w:p>
        </w:tc>
        <w:tc>
          <w:tcPr>
            <w:tcW w:w="1007" w:type="dxa"/>
          </w:tcPr>
          <w:p w:rsidR="00E31FB8" w:rsidRPr="00A653EE" w:rsidRDefault="00E31FB8" w:rsidP="004554A0">
            <w:pPr>
              <w:jc w:val="right"/>
            </w:pPr>
            <w:r w:rsidRPr="00A653EE">
              <w:t>0.00112</w:t>
            </w:r>
          </w:p>
        </w:tc>
        <w:tc>
          <w:tcPr>
            <w:tcW w:w="1075" w:type="dxa"/>
          </w:tcPr>
          <w:p w:rsidR="00E31FB8" w:rsidRPr="00A653EE" w:rsidRDefault="00E31FB8" w:rsidP="004554A0">
            <w:pPr>
              <w:jc w:val="right"/>
            </w:pPr>
            <w:r w:rsidRPr="00A653EE">
              <w:t>23.13</w:t>
            </w:r>
            <w:r w:rsidR="009E3B0E">
              <w:t>*</w:t>
            </w:r>
          </w:p>
        </w:tc>
        <w:tc>
          <w:tcPr>
            <w:tcW w:w="1047" w:type="dxa"/>
            <w:vAlign w:val="bottom"/>
          </w:tcPr>
          <w:p w:rsidR="00E31FB8" w:rsidRDefault="00E31FB8">
            <w:pPr>
              <w:jc w:val="right"/>
              <w:rPr>
                <w:rFonts w:ascii="Calibri" w:hAnsi="Calibri"/>
                <w:color w:val="000000"/>
              </w:rPr>
            </w:pPr>
            <w:r>
              <w:rPr>
                <w:rFonts w:ascii="Calibri" w:hAnsi="Calibri"/>
                <w:color w:val="000000"/>
              </w:rPr>
              <w:t>0.03345</w:t>
            </w:r>
          </w:p>
        </w:tc>
      </w:tr>
      <w:tr w:rsidR="00E31FB8" w:rsidTr="00841C9D">
        <w:tc>
          <w:tcPr>
            <w:tcW w:w="1049" w:type="dxa"/>
          </w:tcPr>
          <w:p w:rsidR="00E31FB8" w:rsidRDefault="00E31FB8" w:rsidP="00DD01D6">
            <w:pPr>
              <w:jc w:val="center"/>
              <w:rPr>
                <w:b/>
              </w:rPr>
            </w:pPr>
            <w:r>
              <w:rPr>
                <w:b/>
              </w:rPr>
              <w:t>80-20</w:t>
            </w:r>
          </w:p>
        </w:tc>
        <w:tc>
          <w:tcPr>
            <w:tcW w:w="1279" w:type="dxa"/>
          </w:tcPr>
          <w:p w:rsidR="00E31FB8" w:rsidRPr="00A653EE" w:rsidRDefault="00E31FB8" w:rsidP="004554A0">
            <w:pPr>
              <w:jc w:val="right"/>
            </w:pPr>
            <w:r w:rsidRPr="00A653EE">
              <w:t>1.22662</w:t>
            </w:r>
            <w:r w:rsidR="009E3B0E">
              <w:t>*</w:t>
            </w:r>
          </w:p>
        </w:tc>
        <w:tc>
          <w:tcPr>
            <w:tcW w:w="1007" w:type="dxa"/>
          </w:tcPr>
          <w:p w:rsidR="00E31FB8" w:rsidRPr="00A653EE" w:rsidRDefault="00E31FB8" w:rsidP="004554A0">
            <w:pPr>
              <w:jc w:val="right"/>
            </w:pPr>
            <w:r w:rsidRPr="00A653EE">
              <w:t>0.00026</w:t>
            </w:r>
          </w:p>
        </w:tc>
        <w:tc>
          <w:tcPr>
            <w:tcW w:w="1240" w:type="dxa"/>
          </w:tcPr>
          <w:p w:rsidR="00E31FB8" w:rsidRPr="00A653EE" w:rsidRDefault="00E31FB8" w:rsidP="004554A0">
            <w:pPr>
              <w:jc w:val="right"/>
            </w:pPr>
            <w:r w:rsidRPr="00A653EE">
              <w:t>1.48699</w:t>
            </w:r>
            <w:r w:rsidR="009E3B0E">
              <w:t>*</w:t>
            </w:r>
          </w:p>
        </w:tc>
        <w:tc>
          <w:tcPr>
            <w:tcW w:w="1007" w:type="dxa"/>
          </w:tcPr>
          <w:p w:rsidR="00E31FB8" w:rsidRPr="00A653EE" w:rsidRDefault="00E31FB8" w:rsidP="004554A0">
            <w:pPr>
              <w:jc w:val="right"/>
            </w:pPr>
            <w:r w:rsidRPr="00A653EE">
              <w:t>0.00025</w:t>
            </w:r>
          </w:p>
        </w:tc>
        <w:tc>
          <w:tcPr>
            <w:tcW w:w="1075" w:type="dxa"/>
          </w:tcPr>
          <w:p w:rsidR="00E31FB8" w:rsidRPr="00A653EE" w:rsidRDefault="00E31FB8" w:rsidP="004554A0">
            <w:pPr>
              <w:jc w:val="right"/>
            </w:pPr>
            <w:r w:rsidRPr="00A653EE">
              <w:t>21.23</w:t>
            </w:r>
            <w:r w:rsidR="009E3B0E">
              <w:t>*</w:t>
            </w:r>
          </w:p>
        </w:tc>
        <w:tc>
          <w:tcPr>
            <w:tcW w:w="1047" w:type="dxa"/>
            <w:vAlign w:val="bottom"/>
          </w:tcPr>
          <w:p w:rsidR="00E31FB8" w:rsidRDefault="00E31FB8">
            <w:pPr>
              <w:jc w:val="right"/>
              <w:rPr>
                <w:rFonts w:ascii="Calibri" w:hAnsi="Calibri"/>
                <w:color w:val="000000"/>
              </w:rPr>
            </w:pPr>
            <w:r>
              <w:rPr>
                <w:rFonts w:ascii="Calibri" w:hAnsi="Calibri"/>
                <w:color w:val="000000"/>
              </w:rPr>
              <w:t>0.03278</w:t>
            </w:r>
          </w:p>
        </w:tc>
      </w:tr>
      <w:tr w:rsidR="00E31FB8" w:rsidTr="00841C9D">
        <w:tc>
          <w:tcPr>
            <w:tcW w:w="1049" w:type="dxa"/>
          </w:tcPr>
          <w:p w:rsidR="00E31FB8" w:rsidRDefault="00E31FB8" w:rsidP="00DD01D6">
            <w:pPr>
              <w:jc w:val="center"/>
              <w:rPr>
                <w:b/>
              </w:rPr>
            </w:pPr>
            <w:r>
              <w:rPr>
                <w:b/>
              </w:rPr>
              <w:t>MLD</w:t>
            </w:r>
          </w:p>
        </w:tc>
        <w:tc>
          <w:tcPr>
            <w:tcW w:w="1279" w:type="dxa"/>
          </w:tcPr>
          <w:p w:rsidR="00E31FB8" w:rsidRPr="00A653EE" w:rsidRDefault="00E31FB8" w:rsidP="004554A0">
            <w:pPr>
              <w:jc w:val="right"/>
            </w:pPr>
            <w:r w:rsidRPr="00A653EE">
              <w:t>0.16904</w:t>
            </w:r>
            <w:r w:rsidR="009E3B0E">
              <w:t>*</w:t>
            </w:r>
          </w:p>
        </w:tc>
        <w:tc>
          <w:tcPr>
            <w:tcW w:w="1007" w:type="dxa"/>
          </w:tcPr>
          <w:p w:rsidR="00E31FB8" w:rsidRPr="00A653EE" w:rsidRDefault="00E31FB8" w:rsidP="004554A0">
            <w:pPr>
              <w:jc w:val="right"/>
            </w:pPr>
            <w:r w:rsidRPr="00A653EE">
              <w:t>0.00207</w:t>
            </w:r>
          </w:p>
        </w:tc>
        <w:tc>
          <w:tcPr>
            <w:tcW w:w="1240" w:type="dxa"/>
          </w:tcPr>
          <w:p w:rsidR="00E31FB8" w:rsidRPr="00A653EE" w:rsidRDefault="00E31FB8" w:rsidP="004554A0">
            <w:pPr>
              <w:jc w:val="right"/>
            </w:pPr>
            <w:r w:rsidRPr="00A653EE">
              <w:t>0.20230</w:t>
            </w:r>
            <w:r w:rsidR="009E3B0E">
              <w:t>*</w:t>
            </w:r>
          </w:p>
        </w:tc>
        <w:tc>
          <w:tcPr>
            <w:tcW w:w="1007" w:type="dxa"/>
          </w:tcPr>
          <w:p w:rsidR="00E31FB8" w:rsidRPr="00A653EE" w:rsidRDefault="00E31FB8" w:rsidP="004554A0">
            <w:pPr>
              <w:jc w:val="right"/>
            </w:pPr>
            <w:r w:rsidRPr="00A653EE">
              <w:t>0.00203</w:t>
            </w:r>
          </w:p>
        </w:tc>
        <w:tc>
          <w:tcPr>
            <w:tcW w:w="1075" w:type="dxa"/>
          </w:tcPr>
          <w:p w:rsidR="00E31FB8" w:rsidRPr="00A653EE" w:rsidRDefault="00E31FB8" w:rsidP="004554A0">
            <w:pPr>
              <w:jc w:val="right"/>
            </w:pPr>
            <w:r w:rsidRPr="00A653EE">
              <w:t>19.68</w:t>
            </w:r>
            <w:r w:rsidR="009E3B0E">
              <w:t>*</w:t>
            </w:r>
          </w:p>
        </w:tc>
        <w:tc>
          <w:tcPr>
            <w:tcW w:w="1047" w:type="dxa"/>
            <w:vAlign w:val="bottom"/>
          </w:tcPr>
          <w:p w:rsidR="00E31FB8" w:rsidRDefault="00E31FB8">
            <w:pPr>
              <w:jc w:val="right"/>
              <w:rPr>
                <w:rFonts w:ascii="Calibri" w:hAnsi="Calibri"/>
                <w:color w:val="000000"/>
              </w:rPr>
            </w:pPr>
            <w:r>
              <w:rPr>
                <w:rFonts w:ascii="Calibri" w:hAnsi="Calibri"/>
                <w:color w:val="000000"/>
              </w:rPr>
              <w:t>1.89470</w:t>
            </w:r>
          </w:p>
        </w:tc>
      </w:tr>
      <w:tr w:rsidR="00E31FB8" w:rsidTr="00841C9D">
        <w:tc>
          <w:tcPr>
            <w:tcW w:w="1049" w:type="dxa"/>
          </w:tcPr>
          <w:p w:rsidR="00E31FB8" w:rsidRDefault="00E31FB8" w:rsidP="00DD01D6">
            <w:pPr>
              <w:jc w:val="center"/>
              <w:rPr>
                <w:b/>
              </w:rPr>
            </w:pPr>
            <w:r>
              <w:rPr>
                <w:b/>
              </w:rPr>
              <w:t>90-50</w:t>
            </w:r>
          </w:p>
        </w:tc>
        <w:tc>
          <w:tcPr>
            <w:tcW w:w="1279" w:type="dxa"/>
          </w:tcPr>
          <w:p w:rsidR="00E31FB8" w:rsidRPr="00A653EE" w:rsidRDefault="00E31FB8" w:rsidP="004554A0">
            <w:pPr>
              <w:jc w:val="right"/>
            </w:pPr>
            <w:r w:rsidRPr="00A653EE">
              <w:t>0.35854</w:t>
            </w:r>
            <w:r w:rsidR="009E3B0E">
              <w:t>*</w:t>
            </w:r>
          </w:p>
        </w:tc>
        <w:tc>
          <w:tcPr>
            <w:tcW w:w="1007" w:type="dxa"/>
          </w:tcPr>
          <w:p w:rsidR="00E31FB8" w:rsidRPr="00A653EE" w:rsidRDefault="00E31FB8" w:rsidP="004554A0">
            <w:pPr>
              <w:jc w:val="right"/>
            </w:pPr>
            <w:r w:rsidRPr="00A653EE">
              <w:t>0.00008</w:t>
            </w:r>
          </w:p>
        </w:tc>
        <w:tc>
          <w:tcPr>
            <w:tcW w:w="1240" w:type="dxa"/>
          </w:tcPr>
          <w:p w:rsidR="00E31FB8" w:rsidRPr="00A653EE" w:rsidRDefault="00E31FB8" w:rsidP="004554A0">
            <w:pPr>
              <w:jc w:val="right"/>
            </w:pPr>
            <w:r w:rsidRPr="00A653EE">
              <w:t>0.42521</w:t>
            </w:r>
            <w:r w:rsidR="009E3B0E">
              <w:t>*</w:t>
            </w:r>
          </w:p>
        </w:tc>
        <w:tc>
          <w:tcPr>
            <w:tcW w:w="1007" w:type="dxa"/>
          </w:tcPr>
          <w:p w:rsidR="00E31FB8" w:rsidRPr="00A653EE" w:rsidRDefault="00E31FB8" w:rsidP="004554A0">
            <w:pPr>
              <w:jc w:val="right"/>
            </w:pPr>
            <w:r w:rsidRPr="00A653EE">
              <w:t>0.00007</w:t>
            </w:r>
          </w:p>
        </w:tc>
        <w:tc>
          <w:tcPr>
            <w:tcW w:w="1075" w:type="dxa"/>
          </w:tcPr>
          <w:p w:rsidR="00E31FB8" w:rsidRPr="00A653EE" w:rsidRDefault="00E31FB8" w:rsidP="004554A0">
            <w:pPr>
              <w:jc w:val="right"/>
            </w:pPr>
            <w:r w:rsidRPr="00A653EE">
              <w:t>18.59</w:t>
            </w:r>
            <w:r w:rsidR="009E3B0E">
              <w:t>*</w:t>
            </w:r>
          </w:p>
        </w:tc>
        <w:tc>
          <w:tcPr>
            <w:tcW w:w="1047" w:type="dxa"/>
            <w:vAlign w:val="bottom"/>
          </w:tcPr>
          <w:p w:rsidR="00E31FB8" w:rsidRDefault="00E31FB8">
            <w:pPr>
              <w:jc w:val="right"/>
              <w:rPr>
                <w:rFonts w:ascii="Calibri" w:hAnsi="Calibri"/>
                <w:color w:val="000000"/>
              </w:rPr>
            </w:pPr>
            <w:r>
              <w:rPr>
                <w:rFonts w:ascii="Calibri" w:hAnsi="Calibri"/>
                <w:color w:val="000000"/>
              </w:rPr>
              <w:t>0.03289</w:t>
            </w:r>
          </w:p>
        </w:tc>
      </w:tr>
      <w:tr w:rsidR="00E31FB8" w:rsidTr="00841C9D">
        <w:tc>
          <w:tcPr>
            <w:tcW w:w="1049" w:type="dxa"/>
          </w:tcPr>
          <w:p w:rsidR="00E31FB8" w:rsidRDefault="00E31FB8" w:rsidP="00DD01D6">
            <w:pPr>
              <w:jc w:val="center"/>
              <w:rPr>
                <w:b/>
              </w:rPr>
            </w:pPr>
            <w:r>
              <w:rPr>
                <w:b/>
              </w:rPr>
              <w:t>50-10</w:t>
            </w:r>
          </w:p>
        </w:tc>
        <w:tc>
          <w:tcPr>
            <w:tcW w:w="1279" w:type="dxa"/>
          </w:tcPr>
          <w:p w:rsidR="00E31FB8" w:rsidRPr="00A653EE" w:rsidRDefault="00E31FB8" w:rsidP="004554A0">
            <w:pPr>
              <w:jc w:val="right"/>
            </w:pPr>
            <w:r w:rsidRPr="00A653EE">
              <w:t>1.62237</w:t>
            </w:r>
            <w:r w:rsidR="009E3B0E">
              <w:t>*</w:t>
            </w:r>
          </w:p>
        </w:tc>
        <w:tc>
          <w:tcPr>
            <w:tcW w:w="1007" w:type="dxa"/>
          </w:tcPr>
          <w:p w:rsidR="00E31FB8" w:rsidRPr="00A653EE" w:rsidRDefault="00E31FB8" w:rsidP="004554A0">
            <w:pPr>
              <w:jc w:val="right"/>
            </w:pPr>
            <w:r w:rsidRPr="00A653EE">
              <w:t>0.00020</w:t>
            </w:r>
          </w:p>
        </w:tc>
        <w:tc>
          <w:tcPr>
            <w:tcW w:w="1240" w:type="dxa"/>
          </w:tcPr>
          <w:p w:rsidR="00E31FB8" w:rsidRPr="00A653EE" w:rsidRDefault="00E31FB8" w:rsidP="004554A0">
            <w:pPr>
              <w:jc w:val="right"/>
            </w:pPr>
            <w:r w:rsidRPr="00A653EE">
              <w:t>1.89466</w:t>
            </w:r>
            <w:r w:rsidR="009E3B0E">
              <w:t>*</w:t>
            </w:r>
          </w:p>
        </w:tc>
        <w:tc>
          <w:tcPr>
            <w:tcW w:w="1007" w:type="dxa"/>
          </w:tcPr>
          <w:p w:rsidR="00E31FB8" w:rsidRPr="00A653EE" w:rsidRDefault="00E31FB8" w:rsidP="004554A0">
            <w:pPr>
              <w:jc w:val="right"/>
            </w:pPr>
            <w:r w:rsidRPr="00A653EE">
              <w:t>0.00018</w:t>
            </w:r>
          </w:p>
        </w:tc>
        <w:tc>
          <w:tcPr>
            <w:tcW w:w="1075" w:type="dxa"/>
          </w:tcPr>
          <w:p w:rsidR="00E31FB8" w:rsidRPr="00A653EE" w:rsidRDefault="00E31FB8" w:rsidP="004554A0">
            <w:pPr>
              <w:jc w:val="right"/>
            </w:pPr>
            <w:r w:rsidRPr="00A653EE">
              <w:t>16.78</w:t>
            </w:r>
            <w:r w:rsidR="009E3B0E">
              <w:t>*</w:t>
            </w:r>
          </w:p>
        </w:tc>
        <w:tc>
          <w:tcPr>
            <w:tcW w:w="1047" w:type="dxa"/>
            <w:vAlign w:val="bottom"/>
          </w:tcPr>
          <w:p w:rsidR="00E31FB8" w:rsidRDefault="00E31FB8">
            <w:pPr>
              <w:jc w:val="right"/>
              <w:rPr>
                <w:rFonts w:ascii="Calibri" w:hAnsi="Calibri"/>
                <w:color w:val="000000"/>
              </w:rPr>
            </w:pPr>
            <w:r>
              <w:rPr>
                <w:rFonts w:ascii="Calibri" w:hAnsi="Calibri"/>
                <w:color w:val="000000"/>
              </w:rPr>
              <w:t>0.01818</w:t>
            </w:r>
          </w:p>
        </w:tc>
      </w:tr>
      <w:tr w:rsidR="00E31FB8" w:rsidTr="00841C9D">
        <w:tc>
          <w:tcPr>
            <w:tcW w:w="1049" w:type="dxa"/>
          </w:tcPr>
          <w:p w:rsidR="00E31FB8" w:rsidRDefault="00E31FB8" w:rsidP="00DD01D6">
            <w:pPr>
              <w:jc w:val="center"/>
              <w:rPr>
                <w:b/>
              </w:rPr>
            </w:pPr>
            <w:r>
              <w:rPr>
                <w:b/>
              </w:rPr>
              <w:t>Theil</w:t>
            </w:r>
          </w:p>
        </w:tc>
        <w:tc>
          <w:tcPr>
            <w:tcW w:w="1279" w:type="dxa"/>
          </w:tcPr>
          <w:p w:rsidR="00E31FB8" w:rsidRPr="00A653EE" w:rsidRDefault="00E31FB8" w:rsidP="004554A0">
            <w:pPr>
              <w:jc w:val="right"/>
            </w:pPr>
            <w:r w:rsidRPr="00A653EE">
              <w:t>0.12161</w:t>
            </w:r>
            <w:r w:rsidR="009E3B0E">
              <w:t>*</w:t>
            </w:r>
          </w:p>
        </w:tc>
        <w:tc>
          <w:tcPr>
            <w:tcW w:w="1007" w:type="dxa"/>
          </w:tcPr>
          <w:p w:rsidR="00E31FB8" w:rsidRPr="00A653EE" w:rsidRDefault="00E31FB8" w:rsidP="004554A0">
            <w:pPr>
              <w:jc w:val="right"/>
            </w:pPr>
            <w:r w:rsidRPr="00A653EE">
              <w:t>0.00198</w:t>
            </w:r>
          </w:p>
        </w:tc>
        <w:tc>
          <w:tcPr>
            <w:tcW w:w="1240" w:type="dxa"/>
          </w:tcPr>
          <w:p w:rsidR="00E31FB8" w:rsidRPr="00A653EE" w:rsidRDefault="00E31FB8" w:rsidP="004554A0">
            <w:pPr>
              <w:jc w:val="right"/>
            </w:pPr>
            <w:r w:rsidRPr="00A653EE">
              <w:t>0.14121</w:t>
            </w:r>
            <w:r w:rsidR="009E3B0E">
              <w:t>*</w:t>
            </w:r>
          </w:p>
        </w:tc>
        <w:tc>
          <w:tcPr>
            <w:tcW w:w="1007" w:type="dxa"/>
          </w:tcPr>
          <w:p w:rsidR="00E31FB8" w:rsidRPr="00A653EE" w:rsidRDefault="00E31FB8" w:rsidP="004554A0">
            <w:pPr>
              <w:jc w:val="right"/>
            </w:pPr>
            <w:r w:rsidRPr="00A653EE">
              <w:t>0.00157</w:t>
            </w:r>
          </w:p>
        </w:tc>
        <w:tc>
          <w:tcPr>
            <w:tcW w:w="1075" w:type="dxa"/>
          </w:tcPr>
          <w:p w:rsidR="00E31FB8" w:rsidRPr="00A653EE" w:rsidRDefault="00E31FB8" w:rsidP="004554A0">
            <w:pPr>
              <w:jc w:val="right"/>
            </w:pPr>
            <w:r w:rsidRPr="00A653EE">
              <w:t>16.12</w:t>
            </w:r>
            <w:r w:rsidR="009E3B0E">
              <w:t>*</w:t>
            </w:r>
          </w:p>
        </w:tc>
        <w:tc>
          <w:tcPr>
            <w:tcW w:w="1047" w:type="dxa"/>
            <w:vAlign w:val="bottom"/>
          </w:tcPr>
          <w:p w:rsidR="00E31FB8" w:rsidRDefault="00E31FB8">
            <w:pPr>
              <w:jc w:val="right"/>
              <w:rPr>
                <w:rFonts w:ascii="Calibri" w:hAnsi="Calibri"/>
                <w:color w:val="000000"/>
              </w:rPr>
            </w:pPr>
            <w:r>
              <w:rPr>
                <w:rFonts w:ascii="Calibri" w:hAnsi="Calibri"/>
                <w:color w:val="000000"/>
              </w:rPr>
              <w:t>2.28931</w:t>
            </w:r>
          </w:p>
        </w:tc>
      </w:tr>
      <w:tr w:rsidR="00E31FB8" w:rsidTr="00841C9D">
        <w:tc>
          <w:tcPr>
            <w:tcW w:w="1049" w:type="dxa"/>
          </w:tcPr>
          <w:p w:rsidR="00E31FB8" w:rsidRDefault="00E31FB8" w:rsidP="00DD01D6">
            <w:pPr>
              <w:jc w:val="center"/>
              <w:rPr>
                <w:b/>
              </w:rPr>
            </w:pPr>
            <w:r>
              <w:rPr>
                <w:b/>
              </w:rPr>
              <w:t>99-90</w:t>
            </w:r>
          </w:p>
        </w:tc>
        <w:tc>
          <w:tcPr>
            <w:tcW w:w="1279" w:type="dxa"/>
          </w:tcPr>
          <w:p w:rsidR="00E31FB8" w:rsidRPr="00A653EE" w:rsidRDefault="00E31FB8" w:rsidP="004554A0">
            <w:pPr>
              <w:jc w:val="right"/>
            </w:pPr>
            <w:r w:rsidRPr="00A653EE">
              <w:t>0.34884</w:t>
            </w:r>
            <w:r w:rsidR="009E3B0E">
              <w:t>*</w:t>
            </w:r>
          </w:p>
        </w:tc>
        <w:tc>
          <w:tcPr>
            <w:tcW w:w="1007" w:type="dxa"/>
          </w:tcPr>
          <w:p w:rsidR="00E31FB8" w:rsidRPr="00A653EE" w:rsidRDefault="00E31FB8" w:rsidP="004554A0">
            <w:pPr>
              <w:jc w:val="right"/>
            </w:pPr>
            <w:r w:rsidRPr="00A653EE">
              <w:t>0.00018</w:t>
            </w:r>
          </w:p>
        </w:tc>
        <w:tc>
          <w:tcPr>
            <w:tcW w:w="1240" w:type="dxa"/>
          </w:tcPr>
          <w:p w:rsidR="00E31FB8" w:rsidRPr="00A653EE" w:rsidRDefault="00E31FB8" w:rsidP="004554A0">
            <w:pPr>
              <w:jc w:val="right"/>
            </w:pPr>
            <w:r w:rsidRPr="00A653EE">
              <w:t>0.39800</w:t>
            </w:r>
            <w:r w:rsidR="009E3B0E">
              <w:t>*</w:t>
            </w:r>
          </w:p>
        </w:tc>
        <w:tc>
          <w:tcPr>
            <w:tcW w:w="1007" w:type="dxa"/>
          </w:tcPr>
          <w:p w:rsidR="00E31FB8" w:rsidRPr="00A653EE" w:rsidRDefault="00E31FB8" w:rsidP="004554A0">
            <w:pPr>
              <w:jc w:val="right"/>
            </w:pPr>
            <w:r w:rsidRPr="00A653EE">
              <w:t>0.00014</w:t>
            </w:r>
          </w:p>
        </w:tc>
        <w:tc>
          <w:tcPr>
            <w:tcW w:w="1075" w:type="dxa"/>
          </w:tcPr>
          <w:p w:rsidR="00E31FB8" w:rsidRPr="00A653EE" w:rsidRDefault="00E31FB8" w:rsidP="004554A0">
            <w:pPr>
              <w:jc w:val="right"/>
            </w:pPr>
            <w:r w:rsidRPr="00A653EE">
              <w:t>14.09</w:t>
            </w:r>
            <w:r w:rsidR="009E3B0E">
              <w:t>*</w:t>
            </w:r>
          </w:p>
        </w:tc>
        <w:tc>
          <w:tcPr>
            <w:tcW w:w="1047" w:type="dxa"/>
            <w:vAlign w:val="bottom"/>
          </w:tcPr>
          <w:p w:rsidR="00E31FB8" w:rsidRDefault="00E31FB8">
            <w:pPr>
              <w:jc w:val="right"/>
              <w:rPr>
                <w:rFonts w:ascii="Calibri" w:hAnsi="Calibri"/>
                <w:color w:val="000000"/>
              </w:rPr>
            </w:pPr>
            <w:r>
              <w:rPr>
                <w:rFonts w:ascii="Calibri" w:hAnsi="Calibri"/>
                <w:color w:val="000000"/>
              </w:rPr>
              <w:t>0.07125</w:t>
            </w:r>
          </w:p>
        </w:tc>
      </w:tr>
      <w:tr w:rsidR="00E31FB8" w:rsidTr="00841C9D">
        <w:tc>
          <w:tcPr>
            <w:tcW w:w="1049" w:type="dxa"/>
          </w:tcPr>
          <w:p w:rsidR="00E31FB8" w:rsidRDefault="00E31FB8" w:rsidP="00DD01D6">
            <w:pPr>
              <w:jc w:val="center"/>
              <w:rPr>
                <w:b/>
              </w:rPr>
            </w:pPr>
            <w:r>
              <w:rPr>
                <w:b/>
              </w:rPr>
              <w:t>Gini</w:t>
            </w:r>
          </w:p>
        </w:tc>
        <w:tc>
          <w:tcPr>
            <w:tcW w:w="1279" w:type="dxa"/>
          </w:tcPr>
          <w:p w:rsidR="00E31FB8" w:rsidRPr="00A653EE" w:rsidRDefault="00E31FB8" w:rsidP="004554A0">
            <w:pPr>
              <w:jc w:val="right"/>
            </w:pPr>
            <w:r w:rsidRPr="00A653EE">
              <w:t>0.06867</w:t>
            </w:r>
            <w:r w:rsidR="009E3B0E">
              <w:t>*</w:t>
            </w:r>
          </w:p>
        </w:tc>
        <w:tc>
          <w:tcPr>
            <w:tcW w:w="1007" w:type="dxa"/>
          </w:tcPr>
          <w:p w:rsidR="00E31FB8" w:rsidRPr="00A653EE" w:rsidRDefault="00E31FB8" w:rsidP="004554A0">
            <w:pPr>
              <w:jc w:val="right"/>
            </w:pPr>
            <w:r w:rsidRPr="00A653EE">
              <w:t>0.00072</w:t>
            </w:r>
          </w:p>
        </w:tc>
        <w:tc>
          <w:tcPr>
            <w:tcW w:w="1240" w:type="dxa"/>
          </w:tcPr>
          <w:p w:rsidR="00E31FB8" w:rsidRPr="00A653EE" w:rsidRDefault="00E31FB8" w:rsidP="004554A0">
            <w:pPr>
              <w:jc w:val="right"/>
            </w:pPr>
            <w:r w:rsidRPr="00A653EE">
              <w:t>0.07477</w:t>
            </w:r>
            <w:r w:rsidR="009E3B0E">
              <w:t>*</w:t>
            </w:r>
          </w:p>
        </w:tc>
        <w:tc>
          <w:tcPr>
            <w:tcW w:w="1007" w:type="dxa"/>
          </w:tcPr>
          <w:p w:rsidR="00E31FB8" w:rsidRPr="00A653EE" w:rsidRDefault="00E31FB8" w:rsidP="004554A0">
            <w:pPr>
              <w:jc w:val="right"/>
            </w:pPr>
            <w:r w:rsidRPr="00A653EE">
              <w:t>0.00057</w:t>
            </w:r>
          </w:p>
        </w:tc>
        <w:tc>
          <w:tcPr>
            <w:tcW w:w="1075" w:type="dxa"/>
          </w:tcPr>
          <w:p w:rsidR="00E31FB8" w:rsidRPr="00A653EE" w:rsidRDefault="00E31FB8" w:rsidP="004554A0">
            <w:pPr>
              <w:jc w:val="right"/>
            </w:pPr>
            <w:r w:rsidRPr="00A653EE">
              <w:t>8.88</w:t>
            </w:r>
            <w:r w:rsidR="009E3B0E">
              <w:t>*</w:t>
            </w:r>
          </w:p>
        </w:tc>
        <w:tc>
          <w:tcPr>
            <w:tcW w:w="1047" w:type="dxa"/>
            <w:vAlign w:val="bottom"/>
          </w:tcPr>
          <w:p w:rsidR="00E31FB8" w:rsidRDefault="00E31FB8">
            <w:pPr>
              <w:jc w:val="right"/>
              <w:rPr>
                <w:rFonts w:ascii="Calibri" w:hAnsi="Calibri"/>
                <w:color w:val="000000"/>
              </w:rPr>
            </w:pPr>
            <w:r>
              <w:rPr>
                <w:rFonts w:ascii="Calibri" w:hAnsi="Calibri"/>
                <w:color w:val="000000"/>
              </w:rPr>
              <w:t>1.41149</w:t>
            </w:r>
          </w:p>
        </w:tc>
      </w:tr>
      <w:tr w:rsidR="002126C7" w:rsidTr="00E31FB8">
        <w:tc>
          <w:tcPr>
            <w:tcW w:w="7704" w:type="dxa"/>
            <w:gridSpan w:val="7"/>
          </w:tcPr>
          <w:p w:rsidR="002126C7" w:rsidRDefault="002126C7" w:rsidP="002126C7">
            <w:pPr>
              <w:rPr>
                <w:sz w:val="18"/>
                <w:szCs w:val="18"/>
              </w:rPr>
            </w:pPr>
            <w:r w:rsidRPr="002126C7">
              <w:rPr>
                <w:sz w:val="18"/>
                <w:szCs w:val="18"/>
                <w:vertAlign w:val="superscript"/>
              </w:rPr>
              <w:t xml:space="preserve">1 </w:t>
            </w:r>
            <w:r w:rsidRPr="002126C7">
              <w:rPr>
                <w:sz w:val="18"/>
                <w:szCs w:val="18"/>
              </w:rPr>
              <w:t>pre-tax, pre-transfer metric – after-tax, after-transfer metric.  Therefore, a positive difference means that income inequality is higher before taxes and transfers are accounted for</w:t>
            </w:r>
            <w:r>
              <w:rPr>
                <w:sz w:val="18"/>
                <w:szCs w:val="18"/>
              </w:rPr>
              <w:t>.</w:t>
            </w:r>
          </w:p>
          <w:p w:rsidR="009E3B0E" w:rsidRDefault="009E3B0E" w:rsidP="002126C7">
            <w:pPr>
              <w:rPr>
                <w:sz w:val="18"/>
                <w:szCs w:val="18"/>
              </w:rPr>
            </w:pPr>
            <w:r>
              <w:rPr>
                <w:sz w:val="18"/>
                <w:szCs w:val="18"/>
              </w:rPr>
              <w:t>*Significant at the 90 percent confidence level</w:t>
            </w:r>
          </w:p>
          <w:p w:rsidR="002126C7" w:rsidRPr="002126C7" w:rsidRDefault="002126C7" w:rsidP="002126C7">
            <w:pPr>
              <w:rPr>
                <w:sz w:val="18"/>
                <w:szCs w:val="18"/>
              </w:rPr>
            </w:pPr>
            <w:r>
              <w:rPr>
                <w:sz w:val="18"/>
                <w:szCs w:val="18"/>
              </w:rPr>
              <w:t>Source: 2005 and 2015 American Community Survey. For more information on the ACS, see census.gov/</w:t>
            </w:r>
            <w:proofErr w:type="spellStart"/>
            <w:r>
              <w:rPr>
                <w:sz w:val="18"/>
                <w:szCs w:val="18"/>
              </w:rPr>
              <w:t>acs</w:t>
            </w:r>
            <w:proofErr w:type="spellEnd"/>
            <w:r>
              <w:rPr>
                <w:sz w:val="18"/>
                <w:szCs w:val="18"/>
              </w:rPr>
              <w:t>.</w:t>
            </w:r>
          </w:p>
        </w:tc>
      </w:tr>
    </w:tbl>
    <w:p w:rsidR="00721F60" w:rsidRDefault="00BF7E46" w:rsidP="00A412B5">
      <w:pPr>
        <w:spacing w:line="360" w:lineRule="auto"/>
        <w:rPr>
          <w:b/>
        </w:rPr>
      </w:pPr>
      <w:r>
        <w:rPr>
          <w:b/>
        </w:rPr>
        <w:tab/>
      </w:r>
    </w:p>
    <w:p w:rsidR="007245FD" w:rsidRDefault="00F41195" w:rsidP="00721F60">
      <w:pPr>
        <w:spacing w:line="360" w:lineRule="auto"/>
        <w:ind w:firstLine="720"/>
      </w:pPr>
      <w:r>
        <w:t>In Table 3</w:t>
      </w:r>
      <w:r w:rsidR="006E12FB">
        <w:t xml:space="preserve">, </w:t>
      </w:r>
      <w:r w:rsidR="008448E3">
        <w:t>q</w:t>
      </w:r>
      <w:r w:rsidR="00BF7E46" w:rsidRPr="004D78CF">
        <w:t>uintile income shares</w:t>
      </w:r>
      <w:r w:rsidR="009D166F">
        <w:t xml:space="preserve"> and top one percent income shares</w:t>
      </w:r>
      <w:r w:rsidR="00BF7E46" w:rsidRPr="004D78CF">
        <w:t xml:space="preserve"> are used in place of income inequality metrics.  These s</w:t>
      </w:r>
      <w:r w:rsidR="006E12FB">
        <w:t>hares are a metric that allow one</w:t>
      </w:r>
      <w:r w:rsidR="00BF7E46" w:rsidRPr="004D78CF">
        <w:t xml:space="preserve"> to look at where and how the income distribution is changing over time.</w:t>
      </w:r>
      <w:r w:rsidR="006E12FB">
        <w:t xml:space="preserve">  There are several things one</w:t>
      </w:r>
      <w:r w:rsidR="007245FD">
        <w:t xml:space="preserve"> can learn from this table.  First, not all the differences between pre-tax, pre-transfer and after-tax, after-transfer income shares are of the same sign.</w:t>
      </w:r>
      <w:r w:rsidR="00ED635F">
        <w:t xml:space="preserve">  Including taxes and cash transfer payments in household income increases the income shares for the bottom four quintiles and decreases the income share of the top quintile</w:t>
      </w:r>
      <w:r w:rsidR="009D166F">
        <w:t xml:space="preserve"> and the top one percent</w:t>
      </w:r>
      <w:r w:rsidR="00ED635F">
        <w:t>.</w:t>
      </w:r>
      <w:r w:rsidR="007245FD">
        <w:t xml:space="preserve"> </w:t>
      </w:r>
    </w:p>
    <w:p w:rsidR="00750C12" w:rsidRDefault="007245FD" w:rsidP="00DE3E5E">
      <w:pPr>
        <w:spacing w:line="360" w:lineRule="auto"/>
        <w:ind w:firstLine="720"/>
      </w:pPr>
      <w:r>
        <w:lastRenderedPageBreak/>
        <w:t>Second, all the changes in the shares over time</w:t>
      </w:r>
      <w:r w:rsidR="00DA785A">
        <w:t>, except f</w:t>
      </w:r>
      <w:r w:rsidR="00F41195">
        <w:t xml:space="preserve">or the fourth quintile, </w:t>
      </w:r>
      <w:r>
        <w:t>are positive and statistically significant.  This means that the difference between pre-tax, pre-transfer and after-tax, after-tr</w:t>
      </w:r>
      <w:r w:rsidR="00ED635F">
        <w:t>ansfer income shares has widened</w:t>
      </w:r>
      <w:r>
        <w:t xml:space="preserve"> over time.</w:t>
      </w:r>
      <w:r w:rsidR="00ED635F">
        <w:t xml:space="preserve">  </w:t>
      </w:r>
    </w:p>
    <w:tbl>
      <w:tblPr>
        <w:tblStyle w:val="TableGrid"/>
        <w:tblW w:w="0" w:type="auto"/>
        <w:tblInd w:w="738" w:type="dxa"/>
        <w:tblLook w:val="04A0" w:firstRow="1" w:lastRow="0" w:firstColumn="1" w:lastColumn="0" w:noHBand="0" w:noVBand="1"/>
      </w:tblPr>
      <w:tblGrid>
        <w:gridCol w:w="1234"/>
        <w:gridCol w:w="1240"/>
        <w:gridCol w:w="1014"/>
        <w:gridCol w:w="1240"/>
        <w:gridCol w:w="1014"/>
        <w:gridCol w:w="1097"/>
        <w:gridCol w:w="1061"/>
      </w:tblGrid>
      <w:tr w:rsidR="00D85F54" w:rsidTr="006E12FB">
        <w:tc>
          <w:tcPr>
            <w:tcW w:w="7900" w:type="dxa"/>
            <w:gridSpan w:val="7"/>
          </w:tcPr>
          <w:p w:rsidR="00D85F54" w:rsidRDefault="00F41195" w:rsidP="00D85F54">
            <w:pPr>
              <w:jc w:val="center"/>
              <w:rPr>
                <w:b/>
              </w:rPr>
            </w:pPr>
            <w:r>
              <w:rPr>
                <w:b/>
              </w:rPr>
              <w:t>Table 3</w:t>
            </w:r>
            <w:r w:rsidR="00D85F54">
              <w:rPr>
                <w:b/>
              </w:rPr>
              <w:t>: Difference between pre-tax, pre-transfer income share and after-tax, after-transfer income share over time</w:t>
            </w:r>
          </w:p>
        </w:tc>
      </w:tr>
      <w:tr w:rsidR="00D85F54" w:rsidTr="006E12FB">
        <w:tc>
          <w:tcPr>
            <w:tcW w:w="1234" w:type="dxa"/>
          </w:tcPr>
          <w:p w:rsidR="00D85F54" w:rsidRDefault="00D85F54" w:rsidP="00D85F54">
            <w:pPr>
              <w:jc w:val="center"/>
              <w:rPr>
                <w:b/>
              </w:rPr>
            </w:pPr>
          </w:p>
        </w:tc>
        <w:tc>
          <w:tcPr>
            <w:tcW w:w="2254" w:type="dxa"/>
            <w:gridSpan w:val="2"/>
          </w:tcPr>
          <w:p w:rsidR="00D85F54" w:rsidRDefault="00D85F54" w:rsidP="00D85F54">
            <w:pPr>
              <w:jc w:val="center"/>
              <w:rPr>
                <w:b/>
              </w:rPr>
            </w:pPr>
            <w:r>
              <w:rPr>
                <w:b/>
              </w:rPr>
              <w:t>2005</w:t>
            </w:r>
          </w:p>
        </w:tc>
        <w:tc>
          <w:tcPr>
            <w:tcW w:w="2254" w:type="dxa"/>
            <w:gridSpan w:val="2"/>
          </w:tcPr>
          <w:p w:rsidR="00D85F54" w:rsidRDefault="00D85F54" w:rsidP="00D85F54">
            <w:pPr>
              <w:jc w:val="center"/>
              <w:rPr>
                <w:b/>
              </w:rPr>
            </w:pPr>
            <w:r>
              <w:rPr>
                <w:b/>
              </w:rPr>
              <w:t>2015</w:t>
            </w:r>
          </w:p>
        </w:tc>
        <w:tc>
          <w:tcPr>
            <w:tcW w:w="2158" w:type="dxa"/>
            <w:gridSpan w:val="2"/>
          </w:tcPr>
          <w:p w:rsidR="00D85F54" w:rsidRDefault="007245FD" w:rsidP="00D85F54">
            <w:pPr>
              <w:jc w:val="center"/>
              <w:rPr>
                <w:b/>
              </w:rPr>
            </w:pPr>
            <w:r>
              <w:rPr>
                <w:b/>
              </w:rPr>
              <w:t>Change</w:t>
            </w:r>
          </w:p>
        </w:tc>
      </w:tr>
      <w:tr w:rsidR="00D85F54" w:rsidTr="006E12FB">
        <w:tc>
          <w:tcPr>
            <w:tcW w:w="1234" w:type="dxa"/>
          </w:tcPr>
          <w:p w:rsidR="00D85F54" w:rsidRDefault="00BF7E46" w:rsidP="001F1B1D">
            <w:pPr>
              <w:rPr>
                <w:b/>
              </w:rPr>
            </w:pPr>
            <w:r>
              <w:rPr>
                <w:b/>
              </w:rPr>
              <w:t>Qui</w:t>
            </w:r>
            <w:r w:rsidR="00D85F54">
              <w:rPr>
                <w:b/>
              </w:rPr>
              <w:t>ntiles</w:t>
            </w:r>
          </w:p>
        </w:tc>
        <w:tc>
          <w:tcPr>
            <w:tcW w:w="1240" w:type="dxa"/>
          </w:tcPr>
          <w:p w:rsidR="00D85F54" w:rsidRDefault="00D85F54" w:rsidP="00D85F54">
            <w:pPr>
              <w:jc w:val="center"/>
              <w:rPr>
                <w:b/>
              </w:rPr>
            </w:pPr>
            <w:r>
              <w:rPr>
                <w:b/>
              </w:rPr>
              <w:t>Difference</w:t>
            </w:r>
            <w:r w:rsidR="004D78CF" w:rsidRPr="004D78CF">
              <w:rPr>
                <w:b/>
                <w:vertAlign w:val="superscript"/>
              </w:rPr>
              <w:t>1</w:t>
            </w:r>
          </w:p>
        </w:tc>
        <w:tc>
          <w:tcPr>
            <w:tcW w:w="1014" w:type="dxa"/>
          </w:tcPr>
          <w:p w:rsidR="00D85F54" w:rsidRDefault="009D2D59" w:rsidP="00D85F54">
            <w:pPr>
              <w:jc w:val="center"/>
              <w:rPr>
                <w:b/>
              </w:rPr>
            </w:pPr>
            <w:r>
              <w:rPr>
                <w:b/>
              </w:rPr>
              <w:t>Std. Err</w:t>
            </w:r>
          </w:p>
        </w:tc>
        <w:tc>
          <w:tcPr>
            <w:tcW w:w="1240" w:type="dxa"/>
          </w:tcPr>
          <w:p w:rsidR="00D85F54" w:rsidRDefault="00D85F54" w:rsidP="00D85F54">
            <w:pPr>
              <w:jc w:val="center"/>
              <w:rPr>
                <w:b/>
              </w:rPr>
            </w:pPr>
            <w:r>
              <w:rPr>
                <w:b/>
              </w:rPr>
              <w:t>Difference</w:t>
            </w:r>
            <w:r w:rsidR="004D78CF" w:rsidRPr="004D78CF">
              <w:rPr>
                <w:b/>
                <w:vertAlign w:val="superscript"/>
              </w:rPr>
              <w:t>1</w:t>
            </w:r>
          </w:p>
        </w:tc>
        <w:tc>
          <w:tcPr>
            <w:tcW w:w="1014" w:type="dxa"/>
          </w:tcPr>
          <w:p w:rsidR="00D85F54" w:rsidRDefault="009D2D59" w:rsidP="00D85F54">
            <w:pPr>
              <w:jc w:val="center"/>
              <w:rPr>
                <w:b/>
              </w:rPr>
            </w:pPr>
            <w:r>
              <w:rPr>
                <w:b/>
              </w:rPr>
              <w:t>Std. Err</w:t>
            </w:r>
          </w:p>
        </w:tc>
        <w:tc>
          <w:tcPr>
            <w:tcW w:w="1097" w:type="dxa"/>
          </w:tcPr>
          <w:p w:rsidR="00D85F54" w:rsidRDefault="00D85F54" w:rsidP="00D85F54">
            <w:pPr>
              <w:jc w:val="center"/>
              <w:rPr>
                <w:b/>
              </w:rPr>
            </w:pPr>
            <w:r>
              <w:rPr>
                <w:b/>
              </w:rPr>
              <w:t>Percent</w:t>
            </w:r>
          </w:p>
        </w:tc>
        <w:tc>
          <w:tcPr>
            <w:tcW w:w="1061" w:type="dxa"/>
          </w:tcPr>
          <w:p w:rsidR="00D85F54" w:rsidRDefault="009D2D59" w:rsidP="00D85F54">
            <w:pPr>
              <w:jc w:val="center"/>
              <w:rPr>
                <w:b/>
              </w:rPr>
            </w:pPr>
            <w:r>
              <w:rPr>
                <w:b/>
              </w:rPr>
              <w:t>Std. Err</w:t>
            </w:r>
          </w:p>
        </w:tc>
      </w:tr>
      <w:tr w:rsidR="00E31FB8" w:rsidTr="00E31FB8">
        <w:tc>
          <w:tcPr>
            <w:tcW w:w="1234" w:type="dxa"/>
          </w:tcPr>
          <w:p w:rsidR="00E31FB8" w:rsidRDefault="00E31FB8" w:rsidP="001F1B1D">
            <w:pPr>
              <w:rPr>
                <w:b/>
              </w:rPr>
            </w:pPr>
            <w:r>
              <w:rPr>
                <w:b/>
              </w:rPr>
              <w:t xml:space="preserve">   First</w:t>
            </w:r>
          </w:p>
        </w:tc>
        <w:tc>
          <w:tcPr>
            <w:tcW w:w="1240" w:type="dxa"/>
          </w:tcPr>
          <w:p w:rsidR="00E31FB8" w:rsidRPr="00A653EE" w:rsidRDefault="00E31FB8" w:rsidP="004554A0">
            <w:pPr>
              <w:jc w:val="right"/>
            </w:pPr>
            <w:r w:rsidRPr="00A653EE">
              <w:t>-0.01754</w:t>
            </w:r>
            <w:r w:rsidR="00DA785A">
              <w:t>*</w:t>
            </w:r>
          </w:p>
        </w:tc>
        <w:tc>
          <w:tcPr>
            <w:tcW w:w="1014" w:type="dxa"/>
          </w:tcPr>
          <w:p w:rsidR="00E31FB8" w:rsidRPr="00A653EE" w:rsidRDefault="00E31FB8" w:rsidP="004554A0">
            <w:pPr>
              <w:jc w:val="right"/>
            </w:pPr>
            <w:r w:rsidRPr="00A653EE">
              <w:t>0.00018</w:t>
            </w:r>
          </w:p>
        </w:tc>
        <w:tc>
          <w:tcPr>
            <w:tcW w:w="1240" w:type="dxa"/>
          </w:tcPr>
          <w:p w:rsidR="00E31FB8" w:rsidRPr="00A653EE" w:rsidRDefault="00E31FB8" w:rsidP="004554A0">
            <w:pPr>
              <w:jc w:val="right"/>
            </w:pPr>
            <w:r w:rsidRPr="00A653EE">
              <w:t>-0.01822</w:t>
            </w:r>
            <w:r w:rsidR="00DA785A">
              <w:t>*</w:t>
            </w:r>
          </w:p>
        </w:tc>
        <w:tc>
          <w:tcPr>
            <w:tcW w:w="1014" w:type="dxa"/>
          </w:tcPr>
          <w:p w:rsidR="00E31FB8" w:rsidRPr="00A653EE" w:rsidRDefault="00E31FB8" w:rsidP="004554A0">
            <w:pPr>
              <w:jc w:val="right"/>
            </w:pPr>
            <w:r w:rsidRPr="00A653EE">
              <w:t>0.00013</w:t>
            </w:r>
          </w:p>
        </w:tc>
        <w:tc>
          <w:tcPr>
            <w:tcW w:w="1097" w:type="dxa"/>
          </w:tcPr>
          <w:p w:rsidR="00E31FB8" w:rsidRPr="00A653EE" w:rsidRDefault="00E31FB8" w:rsidP="004554A0">
            <w:pPr>
              <w:jc w:val="right"/>
            </w:pPr>
            <w:r w:rsidRPr="00A653EE">
              <w:t>3.88</w:t>
            </w:r>
            <w:r w:rsidR="00DA785A">
              <w:t>*</w:t>
            </w:r>
          </w:p>
        </w:tc>
        <w:tc>
          <w:tcPr>
            <w:tcW w:w="1061" w:type="dxa"/>
            <w:vAlign w:val="bottom"/>
          </w:tcPr>
          <w:p w:rsidR="00E31FB8" w:rsidRDefault="00E31FB8">
            <w:pPr>
              <w:jc w:val="right"/>
              <w:rPr>
                <w:rFonts w:ascii="Calibri" w:hAnsi="Calibri"/>
                <w:color w:val="000000"/>
              </w:rPr>
            </w:pPr>
            <w:r>
              <w:rPr>
                <w:rFonts w:ascii="Calibri" w:hAnsi="Calibri"/>
                <w:color w:val="000000"/>
              </w:rPr>
              <w:t>1.29835</w:t>
            </w:r>
          </w:p>
        </w:tc>
      </w:tr>
      <w:tr w:rsidR="00E31FB8" w:rsidTr="00E31FB8">
        <w:tc>
          <w:tcPr>
            <w:tcW w:w="1234" w:type="dxa"/>
          </w:tcPr>
          <w:p w:rsidR="00E31FB8" w:rsidRDefault="00E31FB8" w:rsidP="001F1B1D">
            <w:pPr>
              <w:rPr>
                <w:b/>
              </w:rPr>
            </w:pPr>
            <w:r>
              <w:rPr>
                <w:b/>
              </w:rPr>
              <w:t xml:space="preserve">   Second</w:t>
            </w:r>
          </w:p>
        </w:tc>
        <w:tc>
          <w:tcPr>
            <w:tcW w:w="1240" w:type="dxa"/>
          </w:tcPr>
          <w:p w:rsidR="00E31FB8" w:rsidRPr="00A653EE" w:rsidRDefault="00E31FB8" w:rsidP="004554A0">
            <w:pPr>
              <w:jc w:val="right"/>
            </w:pPr>
            <w:r w:rsidRPr="00A653EE">
              <w:t>-0.01865</w:t>
            </w:r>
            <w:r w:rsidR="00DA785A">
              <w:t>*</w:t>
            </w:r>
          </w:p>
        </w:tc>
        <w:tc>
          <w:tcPr>
            <w:tcW w:w="1014" w:type="dxa"/>
          </w:tcPr>
          <w:p w:rsidR="00E31FB8" w:rsidRPr="00A653EE" w:rsidRDefault="00E31FB8" w:rsidP="004554A0">
            <w:pPr>
              <w:jc w:val="right"/>
            </w:pPr>
            <w:r w:rsidRPr="00A653EE">
              <w:t>0.00038</w:t>
            </w:r>
          </w:p>
        </w:tc>
        <w:tc>
          <w:tcPr>
            <w:tcW w:w="1240" w:type="dxa"/>
          </w:tcPr>
          <w:p w:rsidR="00E31FB8" w:rsidRPr="00A653EE" w:rsidRDefault="00E31FB8" w:rsidP="004554A0">
            <w:pPr>
              <w:jc w:val="right"/>
            </w:pPr>
            <w:r w:rsidRPr="00A653EE">
              <w:t>-0.02025</w:t>
            </w:r>
            <w:r w:rsidR="00DA785A">
              <w:t>*</w:t>
            </w:r>
          </w:p>
        </w:tc>
        <w:tc>
          <w:tcPr>
            <w:tcW w:w="1014" w:type="dxa"/>
          </w:tcPr>
          <w:p w:rsidR="00E31FB8" w:rsidRPr="00A653EE" w:rsidRDefault="00E31FB8" w:rsidP="004554A0">
            <w:pPr>
              <w:jc w:val="right"/>
            </w:pPr>
            <w:r w:rsidRPr="00A653EE">
              <w:t>0.00030</w:t>
            </w:r>
          </w:p>
        </w:tc>
        <w:tc>
          <w:tcPr>
            <w:tcW w:w="1097" w:type="dxa"/>
          </w:tcPr>
          <w:p w:rsidR="00E31FB8" w:rsidRPr="00A653EE" w:rsidRDefault="00E31FB8" w:rsidP="004554A0">
            <w:pPr>
              <w:jc w:val="right"/>
            </w:pPr>
            <w:r w:rsidRPr="00A653EE">
              <w:t>8.58</w:t>
            </w:r>
            <w:r w:rsidR="00DA785A">
              <w:t>*</w:t>
            </w:r>
          </w:p>
        </w:tc>
        <w:tc>
          <w:tcPr>
            <w:tcW w:w="1061" w:type="dxa"/>
            <w:vAlign w:val="bottom"/>
          </w:tcPr>
          <w:p w:rsidR="00E31FB8" w:rsidRDefault="00E31FB8">
            <w:pPr>
              <w:jc w:val="right"/>
              <w:rPr>
                <w:rFonts w:ascii="Calibri" w:hAnsi="Calibri"/>
                <w:color w:val="000000"/>
              </w:rPr>
            </w:pPr>
            <w:r>
              <w:rPr>
                <w:rFonts w:ascii="Calibri" w:hAnsi="Calibri"/>
                <w:color w:val="000000"/>
              </w:rPr>
              <w:t>2.73532</w:t>
            </w:r>
          </w:p>
        </w:tc>
      </w:tr>
      <w:tr w:rsidR="00E31FB8" w:rsidTr="00E31FB8">
        <w:tc>
          <w:tcPr>
            <w:tcW w:w="1234" w:type="dxa"/>
          </w:tcPr>
          <w:p w:rsidR="00E31FB8" w:rsidRDefault="00E31FB8" w:rsidP="001F1B1D">
            <w:pPr>
              <w:rPr>
                <w:b/>
              </w:rPr>
            </w:pPr>
            <w:r>
              <w:rPr>
                <w:b/>
              </w:rPr>
              <w:t xml:space="preserve">   Third</w:t>
            </w:r>
          </w:p>
        </w:tc>
        <w:tc>
          <w:tcPr>
            <w:tcW w:w="1240" w:type="dxa"/>
          </w:tcPr>
          <w:p w:rsidR="00E31FB8" w:rsidRPr="00A653EE" w:rsidRDefault="00E31FB8" w:rsidP="004554A0">
            <w:pPr>
              <w:jc w:val="right"/>
            </w:pPr>
            <w:r w:rsidRPr="00A653EE">
              <w:t>-0.01350</w:t>
            </w:r>
            <w:r w:rsidR="00DA785A">
              <w:t>*</w:t>
            </w:r>
          </w:p>
        </w:tc>
        <w:tc>
          <w:tcPr>
            <w:tcW w:w="1014" w:type="dxa"/>
          </w:tcPr>
          <w:p w:rsidR="00E31FB8" w:rsidRPr="00A653EE" w:rsidRDefault="00E31FB8" w:rsidP="004554A0">
            <w:pPr>
              <w:jc w:val="right"/>
            </w:pPr>
            <w:r w:rsidRPr="00A653EE">
              <w:t>0.00055</w:t>
            </w:r>
          </w:p>
        </w:tc>
        <w:tc>
          <w:tcPr>
            <w:tcW w:w="1240" w:type="dxa"/>
          </w:tcPr>
          <w:p w:rsidR="00E31FB8" w:rsidRPr="00A653EE" w:rsidRDefault="00E31FB8" w:rsidP="004554A0">
            <w:pPr>
              <w:jc w:val="right"/>
            </w:pPr>
            <w:r w:rsidRPr="00A653EE">
              <w:t>-0.01565</w:t>
            </w:r>
            <w:r w:rsidR="00DA785A">
              <w:t>*</w:t>
            </w:r>
          </w:p>
        </w:tc>
        <w:tc>
          <w:tcPr>
            <w:tcW w:w="1014" w:type="dxa"/>
          </w:tcPr>
          <w:p w:rsidR="00E31FB8" w:rsidRPr="00A653EE" w:rsidRDefault="00E31FB8" w:rsidP="004554A0">
            <w:pPr>
              <w:jc w:val="right"/>
            </w:pPr>
            <w:r w:rsidRPr="00A653EE">
              <w:t>0.00051</w:t>
            </w:r>
          </w:p>
        </w:tc>
        <w:tc>
          <w:tcPr>
            <w:tcW w:w="1097" w:type="dxa"/>
          </w:tcPr>
          <w:p w:rsidR="00E31FB8" w:rsidRPr="00A653EE" w:rsidRDefault="00E31FB8" w:rsidP="004554A0">
            <w:pPr>
              <w:jc w:val="right"/>
            </w:pPr>
            <w:r w:rsidRPr="00A653EE">
              <w:t>15.93</w:t>
            </w:r>
            <w:r w:rsidR="00DA785A">
              <w:t>*</w:t>
            </w:r>
          </w:p>
        </w:tc>
        <w:tc>
          <w:tcPr>
            <w:tcW w:w="1061" w:type="dxa"/>
            <w:vAlign w:val="bottom"/>
          </w:tcPr>
          <w:p w:rsidR="00E31FB8" w:rsidRDefault="00E31FB8">
            <w:pPr>
              <w:jc w:val="right"/>
              <w:rPr>
                <w:rFonts w:ascii="Calibri" w:hAnsi="Calibri"/>
                <w:color w:val="000000"/>
              </w:rPr>
            </w:pPr>
            <w:r>
              <w:rPr>
                <w:rFonts w:ascii="Calibri" w:hAnsi="Calibri"/>
                <w:color w:val="000000"/>
              </w:rPr>
              <w:t>6.04793</w:t>
            </w:r>
          </w:p>
        </w:tc>
      </w:tr>
      <w:tr w:rsidR="00E31FB8" w:rsidTr="00E31FB8">
        <w:tc>
          <w:tcPr>
            <w:tcW w:w="1234" w:type="dxa"/>
          </w:tcPr>
          <w:p w:rsidR="00E31FB8" w:rsidRDefault="00E31FB8" w:rsidP="001F1B1D">
            <w:pPr>
              <w:rPr>
                <w:b/>
              </w:rPr>
            </w:pPr>
            <w:r>
              <w:rPr>
                <w:b/>
              </w:rPr>
              <w:t xml:space="preserve">   Fourth</w:t>
            </w:r>
          </w:p>
        </w:tc>
        <w:tc>
          <w:tcPr>
            <w:tcW w:w="1240" w:type="dxa"/>
          </w:tcPr>
          <w:p w:rsidR="00E31FB8" w:rsidRPr="00A653EE" w:rsidRDefault="00E31FB8" w:rsidP="004554A0">
            <w:pPr>
              <w:jc w:val="right"/>
            </w:pPr>
            <w:r w:rsidRPr="00A653EE">
              <w:t>-0.00352</w:t>
            </w:r>
            <w:r w:rsidR="00DA785A">
              <w:t>*</w:t>
            </w:r>
          </w:p>
        </w:tc>
        <w:tc>
          <w:tcPr>
            <w:tcW w:w="1014" w:type="dxa"/>
          </w:tcPr>
          <w:p w:rsidR="00E31FB8" w:rsidRPr="00A653EE" w:rsidRDefault="00E31FB8" w:rsidP="004554A0">
            <w:pPr>
              <w:jc w:val="right"/>
            </w:pPr>
            <w:r w:rsidRPr="00A653EE">
              <w:t>0.00086</w:t>
            </w:r>
          </w:p>
        </w:tc>
        <w:tc>
          <w:tcPr>
            <w:tcW w:w="1240" w:type="dxa"/>
          </w:tcPr>
          <w:p w:rsidR="00E31FB8" w:rsidRPr="00A653EE" w:rsidRDefault="00E31FB8" w:rsidP="004554A0">
            <w:pPr>
              <w:jc w:val="right"/>
            </w:pPr>
            <w:r w:rsidRPr="00A653EE">
              <w:t>-0.00517</w:t>
            </w:r>
            <w:r w:rsidR="00DA785A">
              <w:t>*</w:t>
            </w:r>
          </w:p>
        </w:tc>
        <w:tc>
          <w:tcPr>
            <w:tcW w:w="1014" w:type="dxa"/>
          </w:tcPr>
          <w:p w:rsidR="00E31FB8" w:rsidRPr="00A653EE" w:rsidRDefault="00E31FB8" w:rsidP="004554A0">
            <w:pPr>
              <w:jc w:val="right"/>
            </w:pPr>
            <w:r w:rsidRPr="00A653EE">
              <w:t>0.00082</w:t>
            </w:r>
          </w:p>
        </w:tc>
        <w:tc>
          <w:tcPr>
            <w:tcW w:w="1097" w:type="dxa"/>
          </w:tcPr>
          <w:p w:rsidR="00E31FB8" w:rsidRPr="00A653EE" w:rsidRDefault="00E31FB8" w:rsidP="004554A0">
            <w:pPr>
              <w:jc w:val="right"/>
            </w:pPr>
            <w:r w:rsidRPr="00A653EE">
              <w:t>46.88</w:t>
            </w:r>
          </w:p>
        </w:tc>
        <w:tc>
          <w:tcPr>
            <w:tcW w:w="1061" w:type="dxa"/>
            <w:vAlign w:val="bottom"/>
          </w:tcPr>
          <w:p w:rsidR="00E31FB8" w:rsidRDefault="00E31FB8">
            <w:pPr>
              <w:jc w:val="right"/>
              <w:rPr>
                <w:rFonts w:ascii="Calibri" w:hAnsi="Calibri"/>
                <w:color w:val="000000"/>
              </w:rPr>
            </w:pPr>
            <w:r>
              <w:rPr>
                <w:rFonts w:ascii="Calibri" w:hAnsi="Calibri"/>
                <w:color w:val="000000"/>
              </w:rPr>
              <w:t>42.78266</w:t>
            </w:r>
          </w:p>
        </w:tc>
      </w:tr>
      <w:tr w:rsidR="00E31FB8" w:rsidTr="00E31FB8">
        <w:trPr>
          <w:trHeight w:val="260"/>
        </w:trPr>
        <w:tc>
          <w:tcPr>
            <w:tcW w:w="1234" w:type="dxa"/>
          </w:tcPr>
          <w:p w:rsidR="00E31FB8" w:rsidRDefault="00E31FB8" w:rsidP="001F1B1D">
            <w:pPr>
              <w:rPr>
                <w:b/>
              </w:rPr>
            </w:pPr>
            <w:r>
              <w:rPr>
                <w:b/>
              </w:rPr>
              <w:t xml:space="preserve">   Fifth</w:t>
            </w:r>
          </w:p>
        </w:tc>
        <w:tc>
          <w:tcPr>
            <w:tcW w:w="1240" w:type="dxa"/>
          </w:tcPr>
          <w:p w:rsidR="00E31FB8" w:rsidRPr="00A653EE" w:rsidRDefault="00E31FB8" w:rsidP="004554A0">
            <w:pPr>
              <w:jc w:val="right"/>
            </w:pPr>
            <w:r w:rsidRPr="00A653EE">
              <w:t>0.05321</w:t>
            </w:r>
            <w:r w:rsidR="00DA785A">
              <w:t>*</w:t>
            </w:r>
          </w:p>
        </w:tc>
        <w:tc>
          <w:tcPr>
            <w:tcW w:w="1014" w:type="dxa"/>
          </w:tcPr>
          <w:p w:rsidR="00E31FB8" w:rsidRPr="00A653EE" w:rsidRDefault="00E31FB8" w:rsidP="004554A0">
            <w:pPr>
              <w:jc w:val="right"/>
            </w:pPr>
            <w:r w:rsidRPr="00A653EE">
              <w:t>0.00228</w:t>
            </w:r>
          </w:p>
        </w:tc>
        <w:tc>
          <w:tcPr>
            <w:tcW w:w="1240" w:type="dxa"/>
          </w:tcPr>
          <w:p w:rsidR="00E31FB8" w:rsidRPr="00A653EE" w:rsidRDefault="00E31FB8" w:rsidP="004554A0">
            <w:pPr>
              <w:jc w:val="right"/>
            </w:pPr>
            <w:r w:rsidRPr="00A653EE">
              <w:t>0.05929</w:t>
            </w:r>
            <w:r w:rsidR="00DA785A">
              <w:t>*</w:t>
            </w:r>
          </w:p>
        </w:tc>
        <w:tc>
          <w:tcPr>
            <w:tcW w:w="1014" w:type="dxa"/>
          </w:tcPr>
          <w:p w:rsidR="00E31FB8" w:rsidRPr="00A653EE" w:rsidRDefault="00E31FB8" w:rsidP="004554A0">
            <w:pPr>
              <w:jc w:val="right"/>
            </w:pPr>
            <w:r w:rsidRPr="00A653EE">
              <w:t>0.00187</w:t>
            </w:r>
          </w:p>
        </w:tc>
        <w:tc>
          <w:tcPr>
            <w:tcW w:w="1097" w:type="dxa"/>
          </w:tcPr>
          <w:p w:rsidR="00E31FB8" w:rsidRPr="00A653EE" w:rsidRDefault="00E31FB8" w:rsidP="004554A0">
            <w:pPr>
              <w:jc w:val="right"/>
            </w:pPr>
            <w:r w:rsidRPr="00A653EE">
              <w:t>11.43</w:t>
            </w:r>
            <w:r w:rsidR="00DA785A">
              <w:t>*</w:t>
            </w:r>
          </w:p>
        </w:tc>
        <w:tc>
          <w:tcPr>
            <w:tcW w:w="1061" w:type="dxa"/>
            <w:vAlign w:val="bottom"/>
          </w:tcPr>
          <w:p w:rsidR="00E31FB8" w:rsidRDefault="00DA785A">
            <w:pPr>
              <w:jc w:val="right"/>
              <w:rPr>
                <w:rFonts w:ascii="Calibri" w:hAnsi="Calibri"/>
                <w:color w:val="000000"/>
              </w:rPr>
            </w:pPr>
            <w:r>
              <w:rPr>
                <w:rFonts w:ascii="Calibri" w:hAnsi="Calibri"/>
                <w:color w:val="000000"/>
              </w:rPr>
              <w:t>5.92848</w:t>
            </w:r>
          </w:p>
        </w:tc>
      </w:tr>
      <w:tr w:rsidR="00E31FB8" w:rsidTr="00E31FB8">
        <w:trPr>
          <w:trHeight w:val="332"/>
        </w:trPr>
        <w:tc>
          <w:tcPr>
            <w:tcW w:w="1234" w:type="dxa"/>
          </w:tcPr>
          <w:p w:rsidR="00E31FB8" w:rsidRDefault="00E31FB8" w:rsidP="001F1B1D">
            <w:pPr>
              <w:rPr>
                <w:b/>
              </w:rPr>
            </w:pPr>
            <w:r>
              <w:rPr>
                <w:b/>
              </w:rPr>
              <w:t>Top 1%</w:t>
            </w:r>
          </w:p>
        </w:tc>
        <w:tc>
          <w:tcPr>
            <w:tcW w:w="1240" w:type="dxa"/>
          </w:tcPr>
          <w:p w:rsidR="00E31FB8" w:rsidRPr="00A653EE" w:rsidRDefault="00E31FB8" w:rsidP="004554A0">
            <w:pPr>
              <w:jc w:val="right"/>
            </w:pPr>
            <w:r>
              <w:t>0.02040</w:t>
            </w:r>
            <w:r w:rsidR="00DA785A">
              <w:t>*</w:t>
            </w:r>
          </w:p>
        </w:tc>
        <w:tc>
          <w:tcPr>
            <w:tcW w:w="1014" w:type="dxa"/>
          </w:tcPr>
          <w:p w:rsidR="00E31FB8" w:rsidRPr="00A653EE" w:rsidRDefault="00E31FB8" w:rsidP="004554A0">
            <w:pPr>
              <w:jc w:val="right"/>
            </w:pPr>
            <w:r>
              <w:t>0.00141</w:t>
            </w:r>
          </w:p>
        </w:tc>
        <w:tc>
          <w:tcPr>
            <w:tcW w:w="1240" w:type="dxa"/>
          </w:tcPr>
          <w:p w:rsidR="00E31FB8" w:rsidRPr="00A653EE" w:rsidRDefault="00E31FB8" w:rsidP="004554A0">
            <w:pPr>
              <w:jc w:val="right"/>
            </w:pPr>
            <w:r>
              <w:t>0.02439</w:t>
            </w:r>
            <w:r w:rsidR="00DA785A">
              <w:t>*</w:t>
            </w:r>
          </w:p>
        </w:tc>
        <w:tc>
          <w:tcPr>
            <w:tcW w:w="1014" w:type="dxa"/>
          </w:tcPr>
          <w:p w:rsidR="00E31FB8" w:rsidRPr="00A653EE" w:rsidRDefault="00E31FB8" w:rsidP="004554A0">
            <w:pPr>
              <w:jc w:val="right"/>
            </w:pPr>
            <w:r>
              <w:t>0.00120</w:t>
            </w:r>
          </w:p>
        </w:tc>
        <w:tc>
          <w:tcPr>
            <w:tcW w:w="1097" w:type="dxa"/>
          </w:tcPr>
          <w:p w:rsidR="00E31FB8" w:rsidRPr="00A653EE" w:rsidRDefault="00E31FB8" w:rsidP="004554A0">
            <w:pPr>
              <w:jc w:val="right"/>
            </w:pPr>
            <w:r>
              <w:t>19.57</w:t>
            </w:r>
            <w:r w:rsidR="00DA785A">
              <w:t>*</w:t>
            </w:r>
          </w:p>
        </w:tc>
        <w:tc>
          <w:tcPr>
            <w:tcW w:w="1061" w:type="dxa"/>
            <w:vAlign w:val="bottom"/>
          </w:tcPr>
          <w:p w:rsidR="00E31FB8" w:rsidRDefault="00DA785A">
            <w:pPr>
              <w:jc w:val="right"/>
              <w:rPr>
                <w:rFonts w:ascii="Calibri" w:hAnsi="Calibri"/>
                <w:color w:val="000000"/>
              </w:rPr>
            </w:pPr>
            <w:r>
              <w:rPr>
                <w:rFonts w:ascii="Calibri" w:hAnsi="Calibri"/>
                <w:color w:val="000000"/>
              </w:rPr>
              <w:t>10.14345</w:t>
            </w:r>
          </w:p>
        </w:tc>
      </w:tr>
      <w:tr w:rsidR="004D78CF" w:rsidTr="006E12FB">
        <w:trPr>
          <w:trHeight w:val="332"/>
        </w:trPr>
        <w:tc>
          <w:tcPr>
            <w:tcW w:w="7900" w:type="dxa"/>
            <w:gridSpan w:val="7"/>
          </w:tcPr>
          <w:p w:rsidR="00EB6837" w:rsidRDefault="004D78CF" w:rsidP="007245FD">
            <w:pPr>
              <w:rPr>
                <w:sz w:val="18"/>
                <w:szCs w:val="18"/>
              </w:rPr>
            </w:pPr>
            <w:r w:rsidRPr="002126C7">
              <w:rPr>
                <w:sz w:val="18"/>
                <w:szCs w:val="18"/>
                <w:vertAlign w:val="superscript"/>
              </w:rPr>
              <w:t xml:space="preserve">1 </w:t>
            </w:r>
            <w:r>
              <w:rPr>
                <w:sz w:val="18"/>
                <w:szCs w:val="18"/>
              </w:rPr>
              <w:t>pre-tax, pre-transfer income share</w:t>
            </w:r>
            <w:r w:rsidRPr="002126C7">
              <w:rPr>
                <w:sz w:val="18"/>
                <w:szCs w:val="18"/>
              </w:rPr>
              <w:t xml:space="preserve"> – </w:t>
            </w:r>
            <w:r>
              <w:rPr>
                <w:sz w:val="18"/>
                <w:szCs w:val="18"/>
              </w:rPr>
              <w:t>after-tax, after-transfer income share</w:t>
            </w:r>
            <w:r w:rsidRPr="002126C7">
              <w:rPr>
                <w:sz w:val="18"/>
                <w:szCs w:val="18"/>
              </w:rPr>
              <w:t>.  Therefore, a positive differe</w:t>
            </w:r>
            <w:r>
              <w:rPr>
                <w:sz w:val="18"/>
                <w:szCs w:val="18"/>
              </w:rPr>
              <w:t>nce means that the income share</w:t>
            </w:r>
            <w:r w:rsidRPr="002126C7">
              <w:rPr>
                <w:sz w:val="18"/>
                <w:szCs w:val="18"/>
              </w:rPr>
              <w:t xml:space="preserve"> is higher before taxes and transfers are accounted for</w:t>
            </w:r>
            <w:r>
              <w:rPr>
                <w:sz w:val="18"/>
                <w:szCs w:val="18"/>
              </w:rPr>
              <w:t xml:space="preserve"> and a negative difference means that the income share is lower before taxes and transfers are accounted for.</w:t>
            </w:r>
          </w:p>
          <w:p w:rsidR="00DA785A" w:rsidRPr="00DA785A" w:rsidRDefault="00DA785A" w:rsidP="00DA785A">
            <w:pPr>
              <w:rPr>
                <w:sz w:val="18"/>
                <w:szCs w:val="18"/>
              </w:rPr>
            </w:pPr>
            <w:r>
              <w:rPr>
                <w:sz w:val="18"/>
                <w:szCs w:val="18"/>
              </w:rPr>
              <w:t>*</w:t>
            </w:r>
            <w:r w:rsidR="009E3B0E">
              <w:rPr>
                <w:sz w:val="18"/>
                <w:szCs w:val="18"/>
              </w:rPr>
              <w:t>statistically significant at 90 percent</w:t>
            </w:r>
            <w:r>
              <w:rPr>
                <w:sz w:val="18"/>
                <w:szCs w:val="18"/>
              </w:rPr>
              <w:t xml:space="preserve"> confidence level</w:t>
            </w:r>
          </w:p>
          <w:p w:rsidR="004D78CF" w:rsidRPr="002126C7" w:rsidRDefault="004D78CF" w:rsidP="007245FD">
            <w:pPr>
              <w:rPr>
                <w:sz w:val="18"/>
                <w:szCs w:val="18"/>
              </w:rPr>
            </w:pPr>
            <w:r>
              <w:rPr>
                <w:sz w:val="18"/>
                <w:szCs w:val="18"/>
              </w:rPr>
              <w:t>Source: 2005 and 2015 American Community Survey. For more information on the ACS, see census.gov/</w:t>
            </w:r>
            <w:proofErr w:type="spellStart"/>
            <w:r>
              <w:rPr>
                <w:sz w:val="18"/>
                <w:szCs w:val="18"/>
              </w:rPr>
              <w:t>acs</w:t>
            </w:r>
            <w:proofErr w:type="spellEnd"/>
            <w:r>
              <w:rPr>
                <w:sz w:val="18"/>
                <w:szCs w:val="18"/>
              </w:rPr>
              <w:t>.</w:t>
            </w:r>
          </w:p>
        </w:tc>
      </w:tr>
    </w:tbl>
    <w:p w:rsidR="00D85F54" w:rsidRDefault="00D85F54" w:rsidP="00A412B5">
      <w:pPr>
        <w:spacing w:line="360" w:lineRule="auto"/>
        <w:rPr>
          <w:b/>
        </w:rPr>
      </w:pPr>
    </w:p>
    <w:p w:rsidR="006C1664" w:rsidRDefault="0099101A" w:rsidP="00A412B5">
      <w:pPr>
        <w:spacing w:line="360" w:lineRule="auto"/>
      </w:pPr>
      <w:r>
        <w:tab/>
        <w:t>Table</w:t>
      </w:r>
      <w:r w:rsidR="00E2422A">
        <w:t>s</w:t>
      </w:r>
      <w:r>
        <w:t xml:space="preserve"> </w:t>
      </w:r>
      <w:r w:rsidR="00F41195">
        <w:t>2 and 3</w:t>
      </w:r>
      <w:r>
        <w:t xml:space="preserve"> show how the effect of government programs on income inequality has increased over time.  Howev</w:t>
      </w:r>
      <w:r w:rsidR="006E12FB">
        <w:t xml:space="preserve">er, these tables do not tell one </w:t>
      </w:r>
      <w:r>
        <w:t>much about how income inequality has changed</w:t>
      </w:r>
      <w:r w:rsidR="00B93FA7">
        <w:t xml:space="preserve"> over time</w:t>
      </w:r>
      <w:r>
        <w:t xml:space="preserve">, how </w:t>
      </w:r>
      <w:r w:rsidRPr="00B93FA7">
        <w:t xml:space="preserve">these changes vary by metric, and where in the income distribution these changes occurred.  </w:t>
      </w:r>
    </w:p>
    <w:p w:rsidR="00C36226" w:rsidRDefault="00C36226" w:rsidP="00A412B5">
      <w:pPr>
        <w:spacing w:line="360" w:lineRule="auto"/>
      </w:pPr>
    </w:p>
    <w:p w:rsidR="00111490" w:rsidRPr="00B736EC" w:rsidRDefault="00B736EC" w:rsidP="00B736EC">
      <w:pPr>
        <w:jc w:val="both"/>
        <w:rPr>
          <w:b/>
        </w:rPr>
      </w:pPr>
      <w:r w:rsidRPr="00B736EC">
        <w:rPr>
          <w:b/>
        </w:rPr>
        <w:t>Income inequality metrics over time: 2005 vs. 2</w:t>
      </w:r>
      <w:r w:rsidR="00E02893">
        <w:rPr>
          <w:b/>
        </w:rPr>
        <w:t>01</w:t>
      </w:r>
      <w:r w:rsidRPr="00B736EC">
        <w:rPr>
          <w:b/>
        </w:rPr>
        <w:t>5</w:t>
      </w:r>
    </w:p>
    <w:p w:rsidR="00C84EBB" w:rsidRDefault="00D90D8E" w:rsidP="00A412B5">
      <w:pPr>
        <w:spacing w:line="360" w:lineRule="auto"/>
      </w:pPr>
      <w:r>
        <w:tab/>
        <w:t>In T</w:t>
      </w:r>
      <w:r w:rsidR="00F41195">
        <w:t>able 4</w:t>
      </w:r>
      <w:r w:rsidR="003201FA">
        <w:t xml:space="preserve">, </w:t>
      </w:r>
      <w:r w:rsidR="00F175B1">
        <w:t>the income inequality estimates are di</w:t>
      </w:r>
      <w:r w:rsidR="003201FA">
        <w:t>splayed for each metric for</w:t>
      </w:r>
      <w:r w:rsidR="00F175B1">
        <w:t xml:space="preserve"> pre-tax, pre-transfer household income.</w:t>
      </w:r>
      <w:r w:rsidR="00C84EBB">
        <w:t xml:space="preserve">  This measure of household income is important because it shows what income inequality would look like if government programs were not in place.</w:t>
      </w:r>
    </w:p>
    <w:p w:rsidR="003577EE" w:rsidRDefault="003201FA" w:rsidP="00A412B5">
      <w:pPr>
        <w:spacing w:line="360" w:lineRule="auto"/>
        <w:ind w:firstLine="720"/>
      </w:pPr>
      <w:r>
        <w:t xml:space="preserve">Each metric is measured on a different scale so the estimates cannot be directly compared.  However, the percent change in the metrics from 2005 to 2015 can be compared.  The first thing to notice is that every metric had a statistically significant and positive percentage change over the time period.  </w:t>
      </w:r>
      <w:r w:rsidR="003577EE">
        <w:t>This means that every metric shows that pre-tax, pre-transfer household income inequality increased from 2005 to 2015.</w:t>
      </w:r>
    </w:p>
    <w:p w:rsidR="001D3155" w:rsidRDefault="003577EE" w:rsidP="00A412B5">
      <w:pPr>
        <w:spacing w:line="360" w:lineRule="auto"/>
      </w:pPr>
      <w:r>
        <w:lastRenderedPageBreak/>
        <w:tab/>
        <w:t>Despite this similar pattern, the size of the increase shown by each</w:t>
      </w:r>
      <w:r w:rsidR="001D3155">
        <w:t xml:space="preserve"> metric differs significantly.  </w:t>
      </w:r>
      <w:r w:rsidR="00E06D01">
        <w:t>Using this table, one can conclude that income inequality increased from 2005 to 2015 anywhere from four percent, if income inequality is measured using the Gini Index, to nearly sixteen percent, if income inequality is measured using the MLD, or somewhere in-between.</w:t>
      </w:r>
      <w:r w:rsidR="00EB4052">
        <w:t xml:space="preserve">  </w:t>
      </w:r>
    </w:p>
    <w:p w:rsidR="009E3B0E" w:rsidRDefault="00EB4052" w:rsidP="00A412B5">
      <w:pPr>
        <w:spacing w:line="360" w:lineRule="auto"/>
      </w:pPr>
      <w:r>
        <w:tab/>
      </w:r>
      <w:r w:rsidR="00C84EBB">
        <w:t>One final point is to look at where changes in the income di</w:t>
      </w:r>
      <w:r w:rsidR="009E67D1">
        <w:t>stribution are taking place</w:t>
      </w:r>
      <w:r w:rsidR="00C84EBB">
        <w:t xml:space="preserve"> by examining the non-overlapping income ratios: the 50:10 ratio, the 90:50 ratio, and the 99:90 ratio.  </w:t>
      </w:r>
      <w:r w:rsidR="00974AC7">
        <w:t xml:space="preserve">The biggest increase was in the 50:10.  This </w:t>
      </w:r>
      <w:r w:rsidR="009E67D1">
        <w:t>means</w:t>
      </w:r>
      <w:r w:rsidR="00974AC7">
        <w:t xml:space="preserve"> that the median household moving further away from households at the bottom of the income distribution (50-10 ratio) is a more important factor for why income inequality is increasing than households at the top of the income distribution moving further away from the median (90-50 ratio)</w:t>
      </w:r>
      <w:r w:rsidR="000635EF">
        <w:t xml:space="preserve"> when excluding taxes and transfers</w:t>
      </w:r>
      <w:r w:rsidR="00A84358">
        <w:t xml:space="preserve"> from household income</w:t>
      </w:r>
      <w:r w:rsidR="00974AC7">
        <w:t xml:space="preserve">.  Similarly, </w:t>
      </w:r>
      <w:r w:rsidR="00255D12">
        <w:t>the widening gap in the lower half of the income distribution is a more important factor than the widening gap at the top of the income distribution (99-90 ratio).</w:t>
      </w:r>
    </w:p>
    <w:tbl>
      <w:tblPr>
        <w:tblStyle w:val="TableGrid"/>
        <w:tblW w:w="0" w:type="auto"/>
        <w:tblInd w:w="585" w:type="dxa"/>
        <w:tblLook w:val="04A0" w:firstRow="1" w:lastRow="0" w:firstColumn="1" w:lastColumn="0" w:noHBand="0" w:noVBand="1"/>
      </w:tblPr>
      <w:tblGrid>
        <w:gridCol w:w="1250"/>
        <w:gridCol w:w="1162"/>
        <w:gridCol w:w="1052"/>
        <w:gridCol w:w="1162"/>
        <w:gridCol w:w="1052"/>
        <w:gridCol w:w="1191"/>
        <w:gridCol w:w="1110"/>
        <w:gridCol w:w="1012"/>
      </w:tblGrid>
      <w:tr w:rsidR="00B93FA7" w:rsidTr="00B93FA7">
        <w:tc>
          <w:tcPr>
            <w:tcW w:w="8991" w:type="dxa"/>
            <w:gridSpan w:val="8"/>
          </w:tcPr>
          <w:p w:rsidR="00B93FA7" w:rsidRDefault="00F41195" w:rsidP="00B93FA7">
            <w:pPr>
              <w:jc w:val="center"/>
              <w:rPr>
                <w:b/>
              </w:rPr>
            </w:pPr>
            <w:r>
              <w:rPr>
                <w:b/>
              </w:rPr>
              <w:t>Table 4</w:t>
            </w:r>
            <w:r w:rsidR="00B93FA7">
              <w:rPr>
                <w:b/>
              </w:rPr>
              <w:t>: Pre-tax, Pre-transfer income Inequality metric over time: Rank ordered</w:t>
            </w:r>
          </w:p>
        </w:tc>
      </w:tr>
      <w:tr w:rsidR="00B93FA7" w:rsidTr="009E3B0E">
        <w:tc>
          <w:tcPr>
            <w:tcW w:w="1250" w:type="dxa"/>
          </w:tcPr>
          <w:p w:rsidR="00B93FA7" w:rsidRDefault="00B93FA7" w:rsidP="00B93FA7">
            <w:pPr>
              <w:jc w:val="center"/>
              <w:rPr>
                <w:b/>
              </w:rPr>
            </w:pPr>
          </w:p>
        </w:tc>
        <w:tc>
          <w:tcPr>
            <w:tcW w:w="2214" w:type="dxa"/>
            <w:gridSpan w:val="2"/>
          </w:tcPr>
          <w:p w:rsidR="00B93FA7" w:rsidRDefault="00B93FA7" w:rsidP="00B93FA7">
            <w:pPr>
              <w:jc w:val="center"/>
              <w:rPr>
                <w:b/>
              </w:rPr>
            </w:pPr>
            <w:r>
              <w:rPr>
                <w:b/>
              </w:rPr>
              <w:t>2005</w:t>
            </w:r>
          </w:p>
        </w:tc>
        <w:tc>
          <w:tcPr>
            <w:tcW w:w="2214" w:type="dxa"/>
            <w:gridSpan w:val="2"/>
          </w:tcPr>
          <w:p w:rsidR="00B93FA7" w:rsidRDefault="00B93FA7" w:rsidP="00B93FA7">
            <w:pPr>
              <w:jc w:val="center"/>
              <w:rPr>
                <w:b/>
              </w:rPr>
            </w:pPr>
            <w:r>
              <w:rPr>
                <w:b/>
              </w:rPr>
              <w:t>2015</w:t>
            </w:r>
          </w:p>
        </w:tc>
        <w:tc>
          <w:tcPr>
            <w:tcW w:w="3313" w:type="dxa"/>
            <w:gridSpan w:val="3"/>
          </w:tcPr>
          <w:p w:rsidR="00B93FA7" w:rsidRDefault="00B93FA7" w:rsidP="00B93FA7">
            <w:pPr>
              <w:jc w:val="center"/>
              <w:rPr>
                <w:b/>
              </w:rPr>
            </w:pPr>
            <w:r>
              <w:rPr>
                <w:b/>
              </w:rPr>
              <w:t>Change in metric</w:t>
            </w:r>
          </w:p>
        </w:tc>
      </w:tr>
      <w:tr w:rsidR="00B93FA7" w:rsidTr="009E3B0E">
        <w:tc>
          <w:tcPr>
            <w:tcW w:w="1250" w:type="dxa"/>
          </w:tcPr>
          <w:p w:rsidR="00B93FA7" w:rsidRDefault="00B93FA7" w:rsidP="00B93FA7">
            <w:pPr>
              <w:jc w:val="center"/>
              <w:rPr>
                <w:b/>
              </w:rPr>
            </w:pPr>
          </w:p>
        </w:tc>
        <w:tc>
          <w:tcPr>
            <w:tcW w:w="1162" w:type="dxa"/>
          </w:tcPr>
          <w:p w:rsidR="00B93FA7" w:rsidRDefault="00D90D8E" w:rsidP="00B93FA7">
            <w:pPr>
              <w:jc w:val="center"/>
              <w:rPr>
                <w:b/>
              </w:rPr>
            </w:pPr>
            <w:r>
              <w:rPr>
                <w:b/>
              </w:rPr>
              <w:t>E</w:t>
            </w:r>
            <w:r w:rsidR="00B93FA7">
              <w:rPr>
                <w:b/>
              </w:rPr>
              <w:t>st</w:t>
            </w:r>
          </w:p>
        </w:tc>
        <w:tc>
          <w:tcPr>
            <w:tcW w:w="1052" w:type="dxa"/>
          </w:tcPr>
          <w:p w:rsidR="00B93FA7" w:rsidRDefault="009D2D59" w:rsidP="00B93FA7">
            <w:pPr>
              <w:jc w:val="center"/>
              <w:rPr>
                <w:b/>
              </w:rPr>
            </w:pPr>
            <w:r>
              <w:rPr>
                <w:b/>
              </w:rPr>
              <w:t>Std. Err</w:t>
            </w:r>
          </w:p>
        </w:tc>
        <w:tc>
          <w:tcPr>
            <w:tcW w:w="1162" w:type="dxa"/>
          </w:tcPr>
          <w:p w:rsidR="00B93FA7" w:rsidRDefault="00D90D8E" w:rsidP="00B93FA7">
            <w:pPr>
              <w:jc w:val="center"/>
              <w:rPr>
                <w:b/>
              </w:rPr>
            </w:pPr>
            <w:r>
              <w:rPr>
                <w:b/>
              </w:rPr>
              <w:t>E</w:t>
            </w:r>
            <w:r w:rsidR="00B93FA7">
              <w:rPr>
                <w:b/>
              </w:rPr>
              <w:t>st</w:t>
            </w:r>
          </w:p>
        </w:tc>
        <w:tc>
          <w:tcPr>
            <w:tcW w:w="1052" w:type="dxa"/>
          </w:tcPr>
          <w:p w:rsidR="00B93FA7" w:rsidRDefault="009D2D59" w:rsidP="00B93FA7">
            <w:pPr>
              <w:jc w:val="center"/>
              <w:rPr>
                <w:b/>
              </w:rPr>
            </w:pPr>
            <w:r>
              <w:rPr>
                <w:b/>
              </w:rPr>
              <w:t>Std. Err</w:t>
            </w:r>
          </w:p>
        </w:tc>
        <w:tc>
          <w:tcPr>
            <w:tcW w:w="1191" w:type="dxa"/>
          </w:tcPr>
          <w:p w:rsidR="00B93FA7" w:rsidRDefault="00B93FA7" w:rsidP="00B93FA7">
            <w:pPr>
              <w:jc w:val="center"/>
              <w:rPr>
                <w:b/>
              </w:rPr>
            </w:pPr>
            <w:r>
              <w:rPr>
                <w:b/>
              </w:rPr>
              <w:t>Percent</w:t>
            </w:r>
          </w:p>
        </w:tc>
        <w:tc>
          <w:tcPr>
            <w:tcW w:w="1110" w:type="dxa"/>
          </w:tcPr>
          <w:p w:rsidR="00B93FA7" w:rsidRDefault="009D2D59" w:rsidP="00B93FA7">
            <w:pPr>
              <w:jc w:val="center"/>
              <w:rPr>
                <w:b/>
              </w:rPr>
            </w:pPr>
            <w:r>
              <w:rPr>
                <w:b/>
              </w:rPr>
              <w:t>Std. Err</w:t>
            </w:r>
          </w:p>
        </w:tc>
        <w:tc>
          <w:tcPr>
            <w:tcW w:w="1012" w:type="dxa"/>
          </w:tcPr>
          <w:p w:rsidR="00B93FA7" w:rsidRDefault="00B93FA7" w:rsidP="00B93FA7">
            <w:pPr>
              <w:jc w:val="center"/>
              <w:rPr>
                <w:b/>
              </w:rPr>
            </w:pPr>
            <w:r>
              <w:rPr>
                <w:b/>
              </w:rPr>
              <w:t>Rank</w:t>
            </w:r>
          </w:p>
        </w:tc>
      </w:tr>
      <w:tr w:rsidR="00DA785A" w:rsidTr="009E3B0E">
        <w:tc>
          <w:tcPr>
            <w:tcW w:w="1250" w:type="dxa"/>
          </w:tcPr>
          <w:p w:rsidR="00DA785A" w:rsidRDefault="00DA785A" w:rsidP="004554A0">
            <w:pPr>
              <w:jc w:val="center"/>
              <w:rPr>
                <w:b/>
              </w:rPr>
            </w:pPr>
            <w:r>
              <w:rPr>
                <w:b/>
              </w:rPr>
              <w:t>MLD</w:t>
            </w:r>
          </w:p>
        </w:tc>
        <w:tc>
          <w:tcPr>
            <w:tcW w:w="1162" w:type="dxa"/>
          </w:tcPr>
          <w:p w:rsidR="00DA785A" w:rsidRPr="00A653EE" w:rsidRDefault="00DA785A" w:rsidP="004554A0">
            <w:pPr>
              <w:jc w:val="right"/>
            </w:pPr>
            <w:r w:rsidRPr="00A653EE">
              <w:t>0.55188</w:t>
            </w:r>
            <w:r w:rsidR="009E3B0E">
              <w:t>*</w:t>
            </w:r>
          </w:p>
        </w:tc>
        <w:tc>
          <w:tcPr>
            <w:tcW w:w="1052" w:type="dxa"/>
          </w:tcPr>
          <w:p w:rsidR="00DA785A" w:rsidRPr="00A653EE" w:rsidRDefault="00DA785A" w:rsidP="004554A0">
            <w:pPr>
              <w:jc w:val="right"/>
            </w:pPr>
            <w:r w:rsidRPr="00A653EE">
              <w:t>0.00158</w:t>
            </w:r>
          </w:p>
        </w:tc>
        <w:tc>
          <w:tcPr>
            <w:tcW w:w="1162" w:type="dxa"/>
          </w:tcPr>
          <w:p w:rsidR="00DA785A" w:rsidRPr="00A653EE" w:rsidRDefault="00DA785A" w:rsidP="004554A0">
            <w:pPr>
              <w:jc w:val="right"/>
            </w:pPr>
            <w:r w:rsidRPr="00A653EE">
              <w:t>0.63926</w:t>
            </w:r>
            <w:r w:rsidR="009E3B0E">
              <w:t>*</w:t>
            </w:r>
          </w:p>
        </w:tc>
        <w:tc>
          <w:tcPr>
            <w:tcW w:w="1052" w:type="dxa"/>
          </w:tcPr>
          <w:p w:rsidR="00DA785A" w:rsidRPr="00A653EE" w:rsidRDefault="00DA785A" w:rsidP="004554A0">
            <w:pPr>
              <w:jc w:val="right"/>
            </w:pPr>
            <w:r w:rsidRPr="00A653EE">
              <w:t>0.00158</w:t>
            </w:r>
          </w:p>
        </w:tc>
        <w:tc>
          <w:tcPr>
            <w:tcW w:w="1191" w:type="dxa"/>
          </w:tcPr>
          <w:p w:rsidR="00DA785A" w:rsidRPr="00A653EE" w:rsidRDefault="00DA785A" w:rsidP="004554A0">
            <w:pPr>
              <w:jc w:val="right"/>
            </w:pPr>
            <w:r w:rsidRPr="00A653EE">
              <w:t>15.83</w:t>
            </w:r>
            <w:r w:rsidR="009E3B0E">
              <w:t>*</w:t>
            </w:r>
          </w:p>
        </w:tc>
        <w:tc>
          <w:tcPr>
            <w:tcW w:w="1110" w:type="dxa"/>
            <w:vAlign w:val="bottom"/>
          </w:tcPr>
          <w:p w:rsidR="00DA785A" w:rsidRDefault="00254B75">
            <w:pPr>
              <w:jc w:val="right"/>
              <w:rPr>
                <w:rFonts w:ascii="Calibri" w:hAnsi="Calibri"/>
                <w:color w:val="000000"/>
              </w:rPr>
            </w:pPr>
            <w:r>
              <w:rPr>
                <w:rFonts w:ascii="Calibri" w:hAnsi="Calibri"/>
                <w:color w:val="000000"/>
              </w:rPr>
              <w:t>0.43811</w:t>
            </w:r>
          </w:p>
        </w:tc>
        <w:tc>
          <w:tcPr>
            <w:tcW w:w="1012" w:type="dxa"/>
          </w:tcPr>
          <w:p w:rsidR="00DA785A" w:rsidRPr="00A653EE" w:rsidRDefault="00DA785A" w:rsidP="004554A0">
            <w:pPr>
              <w:jc w:val="center"/>
            </w:pPr>
            <w:r w:rsidRPr="00A653EE">
              <w:t>1</w:t>
            </w:r>
          </w:p>
        </w:tc>
      </w:tr>
      <w:tr w:rsidR="00DA785A" w:rsidTr="009E3B0E">
        <w:tc>
          <w:tcPr>
            <w:tcW w:w="1250" w:type="dxa"/>
          </w:tcPr>
          <w:p w:rsidR="00DA785A" w:rsidRDefault="00DA785A" w:rsidP="004554A0">
            <w:pPr>
              <w:jc w:val="center"/>
              <w:rPr>
                <w:b/>
              </w:rPr>
            </w:pPr>
            <w:r>
              <w:rPr>
                <w:b/>
              </w:rPr>
              <w:t>Palma</w:t>
            </w:r>
          </w:p>
        </w:tc>
        <w:tc>
          <w:tcPr>
            <w:tcW w:w="1162" w:type="dxa"/>
          </w:tcPr>
          <w:p w:rsidR="00DA785A" w:rsidRPr="00A653EE" w:rsidRDefault="00DA785A" w:rsidP="004554A0">
            <w:pPr>
              <w:jc w:val="right"/>
            </w:pPr>
            <w:r w:rsidRPr="00A653EE">
              <w:t>2.76433</w:t>
            </w:r>
            <w:r w:rsidR="009E3B0E">
              <w:t>*</w:t>
            </w:r>
          </w:p>
        </w:tc>
        <w:tc>
          <w:tcPr>
            <w:tcW w:w="1052" w:type="dxa"/>
          </w:tcPr>
          <w:p w:rsidR="00DA785A" w:rsidRPr="00A653EE" w:rsidRDefault="00DA785A" w:rsidP="004554A0">
            <w:pPr>
              <w:jc w:val="right"/>
            </w:pPr>
            <w:r w:rsidRPr="00A653EE">
              <w:t>0.00502</w:t>
            </w:r>
          </w:p>
        </w:tc>
        <w:tc>
          <w:tcPr>
            <w:tcW w:w="1162" w:type="dxa"/>
          </w:tcPr>
          <w:p w:rsidR="00DA785A" w:rsidRPr="00A653EE" w:rsidRDefault="00DA785A" w:rsidP="004554A0">
            <w:pPr>
              <w:jc w:val="right"/>
            </w:pPr>
            <w:r w:rsidRPr="00A653EE">
              <w:t>3.15459</w:t>
            </w:r>
            <w:r w:rsidR="009E3B0E">
              <w:t>*</w:t>
            </w:r>
          </w:p>
        </w:tc>
        <w:tc>
          <w:tcPr>
            <w:tcW w:w="1052" w:type="dxa"/>
          </w:tcPr>
          <w:p w:rsidR="00DA785A" w:rsidRPr="00A653EE" w:rsidRDefault="00DA785A" w:rsidP="004554A0">
            <w:pPr>
              <w:jc w:val="right"/>
            </w:pPr>
            <w:r w:rsidRPr="00A653EE">
              <w:t>0.00379</w:t>
            </w:r>
          </w:p>
        </w:tc>
        <w:tc>
          <w:tcPr>
            <w:tcW w:w="1191" w:type="dxa"/>
          </w:tcPr>
          <w:p w:rsidR="00DA785A" w:rsidRPr="00A653EE" w:rsidRDefault="00DA785A" w:rsidP="004554A0">
            <w:pPr>
              <w:jc w:val="right"/>
            </w:pPr>
            <w:r w:rsidRPr="00A653EE">
              <w:t>14.12</w:t>
            </w:r>
            <w:r w:rsidR="009E3B0E">
              <w:t>*</w:t>
            </w:r>
          </w:p>
        </w:tc>
        <w:tc>
          <w:tcPr>
            <w:tcW w:w="1110" w:type="dxa"/>
            <w:vAlign w:val="bottom"/>
          </w:tcPr>
          <w:p w:rsidR="00DA785A" w:rsidRDefault="00254B75">
            <w:pPr>
              <w:jc w:val="right"/>
              <w:rPr>
                <w:rFonts w:ascii="Calibri" w:hAnsi="Calibri"/>
                <w:color w:val="000000"/>
              </w:rPr>
            </w:pPr>
            <w:r>
              <w:rPr>
                <w:rFonts w:ascii="Calibri" w:hAnsi="Calibri"/>
                <w:color w:val="000000"/>
              </w:rPr>
              <w:t>0.24848</w:t>
            </w:r>
          </w:p>
        </w:tc>
        <w:tc>
          <w:tcPr>
            <w:tcW w:w="1012" w:type="dxa"/>
          </w:tcPr>
          <w:p w:rsidR="00DA785A" w:rsidRPr="00A653EE" w:rsidRDefault="00DA785A" w:rsidP="004554A0">
            <w:pPr>
              <w:jc w:val="center"/>
            </w:pPr>
            <w:r w:rsidRPr="00A653EE">
              <w:t>2</w:t>
            </w:r>
          </w:p>
        </w:tc>
      </w:tr>
      <w:tr w:rsidR="00DA785A" w:rsidTr="009E3B0E">
        <w:tc>
          <w:tcPr>
            <w:tcW w:w="1250" w:type="dxa"/>
          </w:tcPr>
          <w:p w:rsidR="00DA785A" w:rsidRDefault="00DA785A" w:rsidP="004554A0">
            <w:pPr>
              <w:jc w:val="center"/>
              <w:rPr>
                <w:b/>
              </w:rPr>
            </w:pPr>
            <w:r>
              <w:rPr>
                <w:b/>
              </w:rPr>
              <w:t>90-10</w:t>
            </w:r>
          </w:p>
        </w:tc>
        <w:tc>
          <w:tcPr>
            <w:tcW w:w="1162" w:type="dxa"/>
          </w:tcPr>
          <w:p w:rsidR="00DA785A" w:rsidRPr="00A653EE" w:rsidRDefault="00DA785A" w:rsidP="004554A0">
            <w:pPr>
              <w:jc w:val="right"/>
            </w:pPr>
            <w:r w:rsidRPr="00A653EE">
              <w:t>12.41080</w:t>
            </w:r>
            <w:r w:rsidR="009E3B0E">
              <w:t>*</w:t>
            </w:r>
          </w:p>
        </w:tc>
        <w:tc>
          <w:tcPr>
            <w:tcW w:w="1052" w:type="dxa"/>
          </w:tcPr>
          <w:p w:rsidR="00DA785A" w:rsidRPr="00A653EE" w:rsidRDefault="00DA785A" w:rsidP="004554A0">
            <w:pPr>
              <w:jc w:val="right"/>
            </w:pPr>
            <w:r w:rsidRPr="00A653EE">
              <w:t>0.00107</w:t>
            </w:r>
          </w:p>
        </w:tc>
        <w:tc>
          <w:tcPr>
            <w:tcW w:w="1162" w:type="dxa"/>
          </w:tcPr>
          <w:p w:rsidR="00DA785A" w:rsidRPr="00A653EE" w:rsidRDefault="00DA785A" w:rsidP="004554A0">
            <w:pPr>
              <w:jc w:val="right"/>
            </w:pPr>
            <w:r w:rsidRPr="00A653EE">
              <w:t>14.06865</w:t>
            </w:r>
            <w:r w:rsidR="009E3B0E">
              <w:t>*</w:t>
            </w:r>
          </w:p>
        </w:tc>
        <w:tc>
          <w:tcPr>
            <w:tcW w:w="1052" w:type="dxa"/>
          </w:tcPr>
          <w:p w:rsidR="00DA785A" w:rsidRPr="00A653EE" w:rsidRDefault="00DA785A" w:rsidP="004554A0">
            <w:pPr>
              <w:jc w:val="right"/>
            </w:pPr>
            <w:r w:rsidRPr="00A653EE">
              <w:t>0.00107</w:t>
            </w:r>
          </w:p>
        </w:tc>
        <w:tc>
          <w:tcPr>
            <w:tcW w:w="1191" w:type="dxa"/>
          </w:tcPr>
          <w:p w:rsidR="00DA785A" w:rsidRPr="00A653EE" w:rsidRDefault="00DA785A" w:rsidP="004554A0">
            <w:pPr>
              <w:jc w:val="right"/>
            </w:pPr>
            <w:r w:rsidRPr="00A653EE">
              <w:t>13.36</w:t>
            </w:r>
            <w:r w:rsidR="009E3B0E">
              <w:t>*</w:t>
            </w:r>
          </w:p>
        </w:tc>
        <w:tc>
          <w:tcPr>
            <w:tcW w:w="1110" w:type="dxa"/>
            <w:vAlign w:val="bottom"/>
          </w:tcPr>
          <w:p w:rsidR="00DA785A" w:rsidRDefault="00254B75">
            <w:pPr>
              <w:jc w:val="right"/>
              <w:rPr>
                <w:rFonts w:ascii="Calibri" w:hAnsi="Calibri"/>
                <w:color w:val="000000"/>
              </w:rPr>
            </w:pPr>
            <w:r>
              <w:rPr>
                <w:rFonts w:ascii="Calibri" w:hAnsi="Calibri"/>
                <w:color w:val="000000"/>
              </w:rPr>
              <w:t>0.01303</w:t>
            </w:r>
          </w:p>
        </w:tc>
        <w:tc>
          <w:tcPr>
            <w:tcW w:w="1012" w:type="dxa"/>
          </w:tcPr>
          <w:p w:rsidR="00DA785A" w:rsidRPr="00A653EE" w:rsidRDefault="00800E79" w:rsidP="004554A0">
            <w:pPr>
              <w:jc w:val="center"/>
            </w:pPr>
            <w:r>
              <w:t>3</w:t>
            </w:r>
          </w:p>
        </w:tc>
      </w:tr>
      <w:tr w:rsidR="00DA785A" w:rsidTr="009E3B0E">
        <w:tc>
          <w:tcPr>
            <w:tcW w:w="1250" w:type="dxa"/>
          </w:tcPr>
          <w:p w:rsidR="00DA785A" w:rsidRDefault="00DA785A" w:rsidP="004554A0">
            <w:pPr>
              <w:jc w:val="center"/>
              <w:rPr>
                <w:b/>
              </w:rPr>
            </w:pPr>
            <w:r>
              <w:rPr>
                <w:b/>
              </w:rPr>
              <w:t>Theil</w:t>
            </w:r>
          </w:p>
        </w:tc>
        <w:tc>
          <w:tcPr>
            <w:tcW w:w="1162" w:type="dxa"/>
          </w:tcPr>
          <w:p w:rsidR="00DA785A" w:rsidRPr="00A653EE" w:rsidRDefault="00DA785A" w:rsidP="004554A0">
            <w:pPr>
              <w:jc w:val="right"/>
            </w:pPr>
            <w:r w:rsidRPr="00A653EE">
              <w:t>0.41085</w:t>
            </w:r>
            <w:r w:rsidR="009E3B0E">
              <w:t>*</w:t>
            </w:r>
          </w:p>
        </w:tc>
        <w:tc>
          <w:tcPr>
            <w:tcW w:w="1052" w:type="dxa"/>
          </w:tcPr>
          <w:p w:rsidR="00DA785A" w:rsidRPr="00A653EE" w:rsidRDefault="00DA785A" w:rsidP="004554A0">
            <w:pPr>
              <w:jc w:val="right"/>
            </w:pPr>
            <w:r w:rsidRPr="00A653EE">
              <w:t>0.00166</w:t>
            </w:r>
          </w:p>
        </w:tc>
        <w:tc>
          <w:tcPr>
            <w:tcW w:w="1162" w:type="dxa"/>
          </w:tcPr>
          <w:p w:rsidR="00DA785A" w:rsidRPr="00A653EE" w:rsidRDefault="00DA785A" w:rsidP="004554A0">
            <w:pPr>
              <w:jc w:val="right"/>
            </w:pPr>
            <w:r w:rsidRPr="00A653EE">
              <w:t>0.45436</w:t>
            </w:r>
            <w:r w:rsidR="009E3B0E">
              <w:t>*</w:t>
            </w:r>
          </w:p>
        </w:tc>
        <w:tc>
          <w:tcPr>
            <w:tcW w:w="1052" w:type="dxa"/>
          </w:tcPr>
          <w:p w:rsidR="00DA785A" w:rsidRPr="00A653EE" w:rsidRDefault="00DA785A" w:rsidP="004554A0">
            <w:pPr>
              <w:jc w:val="right"/>
            </w:pPr>
            <w:r w:rsidRPr="00A653EE">
              <w:t>0.00133</w:t>
            </w:r>
          </w:p>
        </w:tc>
        <w:tc>
          <w:tcPr>
            <w:tcW w:w="1191" w:type="dxa"/>
          </w:tcPr>
          <w:p w:rsidR="00DA785A" w:rsidRPr="00A653EE" w:rsidRDefault="00DA785A" w:rsidP="004554A0">
            <w:pPr>
              <w:jc w:val="right"/>
            </w:pPr>
            <w:r w:rsidRPr="00A653EE">
              <w:t>10.59</w:t>
            </w:r>
            <w:r w:rsidR="009E3B0E">
              <w:t>*</w:t>
            </w:r>
          </w:p>
        </w:tc>
        <w:tc>
          <w:tcPr>
            <w:tcW w:w="1110" w:type="dxa"/>
            <w:vAlign w:val="bottom"/>
          </w:tcPr>
          <w:p w:rsidR="00DA785A" w:rsidRDefault="00DA785A">
            <w:pPr>
              <w:jc w:val="right"/>
              <w:rPr>
                <w:rFonts w:ascii="Calibri" w:hAnsi="Calibri"/>
                <w:color w:val="000000"/>
              </w:rPr>
            </w:pPr>
            <w:r>
              <w:rPr>
                <w:rFonts w:ascii="Calibri" w:hAnsi="Calibri"/>
                <w:color w:val="000000"/>
              </w:rPr>
              <w:t>0.55177</w:t>
            </w:r>
          </w:p>
        </w:tc>
        <w:tc>
          <w:tcPr>
            <w:tcW w:w="1012" w:type="dxa"/>
          </w:tcPr>
          <w:p w:rsidR="00DA785A" w:rsidRPr="00A653EE" w:rsidRDefault="00DA785A" w:rsidP="004554A0">
            <w:pPr>
              <w:jc w:val="center"/>
            </w:pPr>
            <w:r w:rsidRPr="00A653EE">
              <w:t>4</w:t>
            </w:r>
          </w:p>
        </w:tc>
      </w:tr>
      <w:tr w:rsidR="00DA785A" w:rsidTr="009E3B0E">
        <w:tc>
          <w:tcPr>
            <w:tcW w:w="1250" w:type="dxa"/>
          </w:tcPr>
          <w:p w:rsidR="00DA785A" w:rsidRDefault="00DA785A" w:rsidP="004554A0">
            <w:pPr>
              <w:jc w:val="center"/>
              <w:rPr>
                <w:b/>
              </w:rPr>
            </w:pPr>
            <w:r>
              <w:rPr>
                <w:b/>
              </w:rPr>
              <w:t>80-20</w:t>
            </w:r>
          </w:p>
        </w:tc>
        <w:tc>
          <w:tcPr>
            <w:tcW w:w="1162" w:type="dxa"/>
          </w:tcPr>
          <w:p w:rsidR="00DA785A" w:rsidRPr="00A653EE" w:rsidRDefault="00DA785A" w:rsidP="004554A0">
            <w:pPr>
              <w:jc w:val="right"/>
            </w:pPr>
            <w:r w:rsidRPr="00A653EE">
              <w:t>4.64534</w:t>
            </w:r>
            <w:r w:rsidR="009E3B0E">
              <w:t>*</w:t>
            </w:r>
          </w:p>
        </w:tc>
        <w:tc>
          <w:tcPr>
            <w:tcW w:w="1052" w:type="dxa"/>
          </w:tcPr>
          <w:p w:rsidR="00DA785A" w:rsidRPr="00A653EE" w:rsidRDefault="00DA785A" w:rsidP="004554A0">
            <w:pPr>
              <w:jc w:val="right"/>
            </w:pPr>
            <w:r w:rsidRPr="00A653EE">
              <w:t>0.00024</w:t>
            </w:r>
          </w:p>
        </w:tc>
        <w:tc>
          <w:tcPr>
            <w:tcW w:w="1162" w:type="dxa"/>
          </w:tcPr>
          <w:p w:rsidR="00DA785A" w:rsidRPr="00A653EE" w:rsidRDefault="00DA785A" w:rsidP="004554A0">
            <w:pPr>
              <w:jc w:val="right"/>
            </w:pPr>
            <w:r w:rsidRPr="00A653EE">
              <w:t>5.07763</w:t>
            </w:r>
            <w:r w:rsidR="009E3B0E">
              <w:t>*</w:t>
            </w:r>
          </w:p>
        </w:tc>
        <w:tc>
          <w:tcPr>
            <w:tcW w:w="1052" w:type="dxa"/>
          </w:tcPr>
          <w:p w:rsidR="00DA785A" w:rsidRPr="00A653EE" w:rsidRDefault="00DA785A" w:rsidP="004554A0">
            <w:pPr>
              <w:jc w:val="right"/>
            </w:pPr>
            <w:r w:rsidRPr="00A653EE">
              <w:t>0.00023</w:t>
            </w:r>
          </w:p>
        </w:tc>
        <w:tc>
          <w:tcPr>
            <w:tcW w:w="1191" w:type="dxa"/>
          </w:tcPr>
          <w:p w:rsidR="00DA785A" w:rsidRPr="00A653EE" w:rsidRDefault="00DA785A" w:rsidP="004554A0">
            <w:pPr>
              <w:jc w:val="right"/>
            </w:pPr>
            <w:r w:rsidRPr="00A653EE">
              <w:t>9.31</w:t>
            </w:r>
            <w:r w:rsidR="009E3B0E">
              <w:t>*</w:t>
            </w:r>
          </w:p>
        </w:tc>
        <w:tc>
          <w:tcPr>
            <w:tcW w:w="1110" w:type="dxa"/>
            <w:vAlign w:val="bottom"/>
          </w:tcPr>
          <w:p w:rsidR="00DA785A" w:rsidRDefault="00DA785A">
            <w:pPr>
              <w:jc w:val="right"/>
              <w:rPr>
                <w:rFonts w:ascii="Calibri" w:hAnsi="Calibri"/>
                <w:color w:val="000000"/>
              </w:rPr>
            </w:pPr>
            <w:r>
              <w:rPr>
                <w:rFonts w:ascii="Calibri" w:hAnsi="Calibri"/>
                <w:color w:val="000000"/>
              </w:rPr>
              <w:t>0.00751</w:t>
            </w:r>
          </w:p>
        </w:tc>
        <w:tc>
          <w:tcPr>
            <w:tcW w:w="1012" w:type="dxa"/>
          </w:tcPr>
          <w:p w:rsidR="00DA785A" w:rsidRPr="00A653EE" w:rsidRDefault="00DA785A" w:rsidP="004554A0">
            <w:pPr>
              <w:jc w:val="center"/>
            </w:pPr>
            <w:r w:rsidRPr="00A653EE">
              <w:t>5</w:t>
            </w:r>
          </w:p>
        </w:tc>
      </w:tr>
      <w:tr w:rsidR="00DA785A" w:rsidTr="009E3B0E">
        <w:tc>
          <w:tcPr>
            <w:tcW w:w="1250" w:type="dxa"/>
          </w:tcPr>
          <w:p w:rsidR="00DA785A" w:rsidRDefault="00DA785A" w:rsidP="004554A0">
            <w:pPr>
              <w:jc w:val="center"/>
              <w:rPr>
                <w:b/>
              </w:rPr>
            </w:pPr>
            <w:r>
              <w:rPr>
                <w:b/>
              </w:rPr>
              <w:t>50-10</w:t>
            </w:r>
          </w:p>
        </w:tc>
        <w:tc>
          <w:tcPr>
            <w:tcW w:w="1162" w:type="dxa"/>
          </w:tcPr>
          <w:p w:rsidR="00DA785A" w:rsidRPr="00A653EE" w:rsidRDefault="00DA785A" w:rsidP="004554A0">
            <w:pPr>
              <w:jc w:val="right"/>
            </w:pPr>
            <w:r w:rsidRPr="00A653EE">
              <w:t>4.78888</w:t>
            </w:r>
            <w:r w:rsidR="009E3B0E">
              <w:t>*</w:t>
            </w:r>
          </w:p>
        </w:tc>
        <w:tc>
          <w:tcPr>
            <w:tcW w:w="1052" w:type="dxa"/>
          </w:tcPr>
          <w:p w:rsidR="00DA785A" w:rsidRPr="00A653EE" w:rsidRDefault="00DA785A" w:rsidP="004554A0">
            <w:pPr>
              <w:jc w:val="right"/>
            </w:pPr>
            <w:r w:rsidRPr="00A653EE">
              <w:t>0.00019</w:t>
            </w:r>
          </w:p>
        </w:tc>
        <w:tc>
          <w:tcPr>
            <w:tcW w:w="1162" w:type="dxa"/>
          </w:tcPr>
          <w:p w:rsidR="00DA785A" w:rsidRPr="00A653EE" w:rsidRDefault="00DA785A" w:rsidP="004554A0">
            <w:pPr>
              <w:jc w:val="right"/>
            </w:pPr>
            <w:r w:rsidRPr="00A653EE">
              <w:t>5.12465</w:t>
            </w:r>
            <w:r w:rsidR="009E3B0E">
              <w:t>*</w:t>
            </w:r>
          </w:p>
        </w:tc>
        <w:tc>
          <w:tcPr>
            <w:tcW w:w="1052" w:type="dxa"/>
          </w:tcPr>
          <w:p w:rsidR="00DA785A" w:rsidRPr="00A653EE" w:rsidRDefault="00DA785A" w:rsidP="004554A0">
            <w:pPr>
              <w:jc w:val="right"/>
            </w:pPr>
            <w:r w:rsidRPr="00A653EE">
              <w:t>0.00016</w:t>
            </w:r>
          </w:p>
        </w:tc>
        <w:tc>
          <w:tcPr>
            <w:tcW w:w="1191" w:type="dxa"/>
          </w:tcPr>
          <w:p w:rsidR="00DA785A" w:rsidRPr="00A653EE" w:rsidRDefault="00DA785A" w:rsidP="004554A0">
            <w:pPr>
              <w:jc w:val="right"/>
            </w:pPr>
            <w:r w:rsidRPr="00A653EE">
              <w:t>7.01</w:t>
            </w:r>
            <w:r w:rsidR="009E3B0E">
              <w:t>*</w:t>
            </w:r>
          </w:p>
        </w:tc>
        <w:tc>
          <w:tcPr>
            <w:tcW w:w="1110" w:type="dxa"/>
            <w:vAlign w:val="bottom"/>
          </w:tcPr>
          <w:p w:rsidR="00DA785A" w:rsidRDefault="00254B75">
            <w:pPr>
              <w:jc w:val="right"/>
              <w:rPr>
                <w:rFonts w:ascii="Calibri" w:hAnsi="Calibri"/>
                <w:color w:val="000000"/>
              </w:rPr>
            </w:pPr>
            <w:r>
              <w:rPr>
                <w:rFonts w:ascii="Calibri" w:hAnsi="Calibri"/>
                <w:color w:val="000000"/>
              </w:rPr>
              <w:t>0.00540</w:t>
            </w:r>
          </w:p>
        </w:tc>
        <w:tc>
          <w:tcPr>
            <w:tcW w:w="1012" w:type="dxa"/>
          </w:tcPr>
          <w:p w:rsidR="00DA785A" w:rsidRPr="00A653EE" w:rsidRDefault="00DA785A" w:rsidP="004554A0">
            <w:pPr>
              <w:jc w:val="center"/>
            </w:pPr>
            <w:r w:rsidRPr="00A653EE">
              <w:t>6</w:t>
            </w:r>
          </w:p>
        </w:tc>
      </w:tr>
      <w:tr w:rsidR="00DA785A" w:rsidTr="009E3B0E">
        <w:tc>
          <w:tcPr>
            <w:tcW w:w="1250" w:type="dxa"/>
          </w:tcPr>
          <w:p w:rsidR="00DA785A" w:rsidRDefault="00DA785A" w:rsidP="004554A0">
            <w:pPr>
              <w:jc w:val="center"/>
              <w:rPr>
                <w:b/>
              </w:rPr>
            </w:pPr>
            <w:r>
              <w:rPr>
                <w:b/>
              </w:rPr>
              <w:t>90-50</w:t>
            </w:r>
          </w:p>
        </w:tc>
        <w:tc>
          <w:tcPr>
            <w:tcW w:w="1162" w:type="dxa"/>
          </w:tcPr>
          <w:p w:rsidR="00DA785A" w:rsidRPr="00A653EE" w:rsidRDefault="00DA785A" w:rsidP="004554A0">
            <w:pPr>
              <w:jc w:val="right"/>
            </w:pPr>
            <w:r w:rsidRPr="00A653EE">
              <w:t>2.59159</w:t>
            </w:r>
            <w:r w:rsidR="009E3B0E">
              <w:t>*</w:t>
            </w:r>
          </w:p>
        </w:tc>
        <w:tc>
          <w:tcPr>
            <w:tcW w:w="1052" w:type="dxa"/>
          </w:tcPr>
          <w:p w:rsidR="00DA785A" w:rsidRPr="00A653EE" w:rsidRDefault="00DA785A" w:rsidP="004554A0">
            <w:pPr>
              <w:jc w:val="right"/>
            </w:pPr>
            <w:r w:rsidRPr="00A653EE">
              <w:t>0.00007</w:t>
            </w:r>
          </w:p>
        </w:tc>
        <w:tc>
          <w:tcPr>
            <w:tcW w:w="1162" w:type="dxa"/>
          </w:tcPr>
          <w:p w:rsidR="00DA785A" w:rsidRPr="00A653EE" w:rsidRDefault="00DA785A" w:rsidP="004554A0">
            <w:pPr>
              <w:jc w:val="right"/>
            </w:pPr>
            <w:r w:rsidRPr="00A653EE">
              <w:t>2.74529</w:t>
            </w:r>
            <w:r w:rsidR="009E3B0E">
              <w:t>*</w:t>
            </w:r>
          </w:p>
        </w:tc>
        <w:tc>
          <w:tcPr>
            <w:tcW w:w="1052" w:type="dxa"/>
          </w:tcPr>
          <w:p w:rsidR="00DA785A" w:rsidRPr="00A653EE" w:rsidRDefault="00DA785A" w:rsidP="004554A0">
            <w:pPr>
              <w:jc w:val="right"/>
            </w:pPr>
            <w:r w:rsidRPr="00A653EE">
              <w:t>0.00006</w:t>
            </w:r>
          </w:p>
        </w:tc>
        <w:tc>
          <w:tcPr>
            <w:tcW w:w="1191" w:type="dxa"/>
          </w:tcPr>
          <w:p w:rsidR="00DA785A" w:rsidRPr="00A653EE" w:rsidRDefault="00DA785A" w:rsidP="004554A0">
            <w:pPr>
              <w:jc w:val="right"/>
            </w:pPr>
            <w:r w:rsidRPr="00A653EE">
              <w:t>5.93</w:t>
            </w:r>
            <w:r w:rsidR="009E3B0E">
              <w:t>*</w:t>
            </w:r>
          </w:p>
        </w:tc>
        <w:tc>
          <w:tcPr>
            <w:tcW w:w="1110" w:type="dxa"/>
            <w:vAlign w:val="bottom"/>
          </w:tcPr>
          <w:p w:rsidR="00DA785A" w:rsidRDefault="00254B75">
            <w:pPr>
              <w:jc w:val="right"/>
              <w:rPr>
                <w:rFonts w:ascii="Calibri" w:hAnsi="Calibri"/>
                <w:color w:val="000000"/>
              </w:rPr>
            </w:pPr>
            <w:r>
              <w:rPr>
                <w:rFonts w:ascii="Calibri" w:hAnsi="Calibri"/>
                <w:color w:val="000000"/>
              </w:rPr>
              <w:t>0.00368</w:t>
            </w:r>
          </w:p>
        </w:tc>
        <w:tc>
          <w:tcPr>
            <w:tcW w:w="1012" w:type="dxa"/>
          </w:tcPr>
          <w:p w:rsidR="00DA785A" w:rsidRPr="00A653EE" w:rsidRDefault="00DA785A" w:rsidP="004554A0">
            <w:pPr>
              <w:jc w:val="center"/>
            </w:pPr>
            <w:r w:rsidRPr="00A653EE">
              <w:t>7</w:t>
            </w:r>
          </w:p>
        </w:tc>
      </w:tr>
      <w:tr w:rsidR="00DA785A" w:rsidTr="009E3B0E">
        <w:tc>
          <w:tcPr>
            <w:tcW w:w="1250" w:type="dxa"/>
          </w:tcPr>
          <w:p w:rsidR="00DA785A" w:rsidRDefault="00DA785A" w:rsidP="004554A0">
            <w:pPr>
              <w:jc w:val="center"/>
              <w:rPr>
                <w:b/>
              </w:rPr>
            </w:pPr>
            <w:r>
              <w:rPr>
                <w:b/>
              </w:rPr>
              <w:t>99-90</w:t>
            </w:r>
          </w:p>
        </w:tc>
        <w:tc>
          <w:tcPr>
            <w:tcW w:w="1162" w:type="dxa"/>
          </w:tcPr>
          <w:p w:rsidR="00DA785A" w:rsidRPr="00A653EE" w:rsidRDefault="00DA785A" w:rsidP="004554A0">
            <w:pPr>
              <w:jc w:val="right"/>
            </w:pPr>
            <w:r w:rsidRPr="00A653EE">
              <w:t>2.61956</w:t>
            </w:r>
            <w:r w:rsidR="009E3B0E">
              <w:t>*</w:t>
            </w:r>
          </w:p>
        </w:tc>
        <w:tc>
          <w:tcPr>
            <w:tcW w:w="1052" w:type="dxa"/>
          </w:tcPr>
          <w:p w:rsidR="00DA785A" w:rsidRPr="00A653EE" w:rsidRDefault="00DA785A" w:rsidP="004554A0">
            <w:pPr>
              <w:jc w:val="right"/>
            </w:pPr>
            <w:r w:rsidRPr="00A653EE">
              <w:t>0.00015</w:t>
            </w:r>
          </w:p>
        </w:tc>
        <w:tc>
          <w:tcPr>
            <w:tcW w:w="1162" w:type="dxa"/>
          </w:tcPr>
          <w:p w:rsidR="00DA785A" w:rsidRPr="00A653EE" w:rsidRDefault="00DA785A" w:rsidP="004554A0">
            <w:pPr>
              <w:jc w:val="right"/>
            </w:pPr>
            <w:r w:rsidRPr="00A653EE">
              <w:t>2.77103</w:t>
            </w:r>
            <w:r w:rsidR="009E3B0E">
              <w:t>*</w:t>
            </w:r>
          </w:p>
        </w:tc>
        <w:tc>
          <w:tcPr>
            <w:tcW w:w="1052" w:type="dxa"/>
          </w:tcPr>
          <w:p w:rsidR="00DA785A" w:rsidRPr="00A653EE" w:rsidRDefault="00DA785A" w:rsidP="004554A0">
            <w:pPr>
              <w:jc w:val="right"/>
            </w:pPr>
            <w:r w:rsidRPr="00A653EE">
              <w:t>0.00012</w:t>
            </w:r>
          </w:p>
        </w:tc>
        <w:tc>
          <w:tcPr>
            <w:tcW w:w="1191" w:type="dxa"/>
          </w:tcPr>
          <w:p w:rsidR="00DA785A" w:rsidRPr="00A653EE" w:rsidRDefault="00DA785A" w:rsidP="004554A0">
            <w:pPr>
              <w:jc w:val="right"/>
            </w:pPr>
            <w:r w:rsidRPr="00A653EE">
              <w:t>5.78</w:t>
            </w:r>
            <w:r w:rsidR="009E3B0E">
              <w:t>*</w:t>
            </w:r>
          </w:p>
        </w:tc>
        <w:tc>
          <w:tcPr>
            <w:tcW w:w="1110" w:type="dxa"/>
            <w:vAlign w:val="bottom"/>
          </w:tcPr>
          <w:p w:rsidR="00DA785A" w:rsidRDefault="00254B75">
            <w:pPr>
              <w:jc w:val="right"/>
              <w:rPr>
                <w:rFonts w:ascii="Calibri" w:hAnsi="Calibri"/>
                <w:color w:val="000000"/>
              </w:rPr>
            </w:pPr>
            <w:r>
              <w:rPr>
                <w:rFonts w:ascii="Calibri" w:hAnsi="Calibri"/>
                <w:color w:val="000000"/>
              </w:rPr>
              <w:t>0.00759</w:t>
            </w:r>
          </w:p>
        </w:tc>
        <w:tc>
          <w:tcPr>
            <w:tcW w:w="1012" w:type="dxa"/>
          </w:tcPr>
          <w:p w:rsidR="00DA785A" w:rsidRPr="00A653EE" w:rsidRDefault="00DA785A" w:rsidP="004554A0">
            <w:pPr>
              <w:jc w:val="center"/>
            </w:pPr>
            <w:r w:rsidRPr="00A653EE">
              <w:t>8</w:t>
            </w:r>
          </w:p>
        </w:tc>
      </w:tr>
      <w:tr w:rsidR="00DA785A" w:rsidTr="009E3B0E">
        <w:tc>
          <w:tcPr>
            <w:tcW w:w="1250" w:type="dxa"/>
          </w:tcPr>
          <w:p w:rsidR="00DA785A" w:rsidRDefault="00DA785A" w:rsidP="004554A0">
            <w:pPr>
              <w:jc w:val="center"/>
              <w:rPr>
                <w:b/>
              </w:rPr>
            </w:pPr>
            <w:r>
              <w:rPr>
                <w:b/>
              </w:rPr>
              <w:t>Gini</w:t>
            </w:r>
          </w:p>
        </w:tc>
        <w:tc>
          <w:tcPr>
            <w:tcW w:w="1162" w:type="dxa"/>
          </w:tcPr>
          <w:p w:rsidR="00DA785A" w:rsidRPr="00A653EE" w:rsidRDefault="00DA785A" w:rsidP="004554A0">
            <w:pPr>
              <w:jc w:val="right"/>
            </w:pPr>
            <w:r w:rsidRPr="00A653EE">
              <w:t>0.46054</w:t>
            </w:r>
            <w:r w:rsidR="009E3B0E">
              <w:t>*</w:t>
            </w:r>
          </w:p>
        </w:tc>
        <w:tc>
          <w:tcPr>
            <w:tcW w:w="1052" w:type="dxa"/>
          </w:tcPr>
          <w:p w:rsidR="00DA785A" w:rsidRPr="00A653EE" w:rsidRDefault="00DA785A" w:rsidP="004554A0">
            <w:pPr>
              <w:jc w:val="right"/>
            </w:pPr>
            <w:r w:rsidRPr="00A653EE">
              <w:t>0.00055</w:t>
            </w:r>
          </w:p>
        </w:tc>
        <w:tc>
          <w:tcPr>
            <w:tcW w:w="1162" w:type="dxa"/>
          </w:tcPr>
          <w:p w:rsidR="00DA785A" w:rsidRPr="00A653EE" w:rsidRDefault="00DA785A" w:rsidP="004554A0">
            <w:pPr>
              <w:jc w:val="right"/>
            </w:pPr>
            <w:r w:rsidRPr="00A653EE">
              <w:t>0.47951</w:t>
            </w:r>
            <w:r w:rsidR="009E3B0E">
              <w:t>*</w:t>
            </w:r>
          </w:p>
        </w:tc>
        <w:tc>
          <w:tcPr>
            <w:tcW w:w="1052" w:type="dxa"/>
          </w:tcPr>
          <w:p w:rsidR="00DA785A" w:rsidRPr="00A653EE" w:rsidRDefault="00DA785A" w:rsidP="004554A0">
            <w:pPr>
              <w:jc w:val="right"/>
            </w:pPr>
            <w:r w:rsidRPr="00A653EE">
              <w:t>0.00044</w:t>
            </w:r>
          </w:p>
        </w:tc>
        <w:tc>
          <w:tcPr>
            <w:tcW w:w="1191" w:type="dxa"/>
          </w:tcPr>
          <w:p w:rsidR="00DA785A" w:rsidRPr="00A653EE" w:rsidRDefault="00DA785A" w:rsidP="004554A0">
            <w:pPr>
              <w:jc w:val="right"/>
            </w:pPr>
            <w:r w:rsidRPr="00A653EE">
              <w:t>4.12</w:t>
            </w:r>
            <w:r w:rsidR="009E3B0E">
              <w:t>*</w:t>
            </w:r>
          </w:p>
        </w:tc>
        <w:tc>
          <w:tcPr>
            <w:tcW w:w="1110" w:type="dxa"/>
            <w:vAlign w:val="bottom"/>
          </w:tcPr>
          <w:p w:rsidR="00DA785A" w:rsidRDefault="00DA785A">
            <w:pPr>
              <w:jc w:val="right"/>
              <w:rPr>
                <w:rFonts w:ascii="Calibri" w:hAnsi="Calibri"/>
                <w:color w:val="000000"/>
              </w:rPr>
            </w:pPr>
            <w:r>
              <w:rPr>
                <w:rFonts w:ascii="Calibri" w:hAnsi="Calibri"/>
                <w:color w:val="000000"/>
              </w:rPr>
              <w:t>0.15681</w:t>
            </w:r>
          </w:p>
        </w:tc>
        <w:tc>
          <w:tcPr>
            <w:tcW w:w="1012" w:type="dxa"/>
          </w:tcPr>
          <w:p w:rsidR="00DA785A" w:rsidRPr="00A653EE" w:rsidRDefault="00DA785A" w:rsidP="004554A0">
            <w:pPr>
              <w:jc w:val="center"/>
            </w:pPr>
            <w:r w:rsidRPr="00A653EE">
              <w:t>9</w:t>
            </w:r>
          </w:p>
        </w:tc>
      </w:tr>
      <w:tr w:rsidR="00EB4052" w:rsidTr="00C84EBB">
        <w:tc>
          <w:tcPr>
            <w:tcW w:w="8991" w:type="dxa"/>
            <w:gridSpan w:val="8"/>
          </w:tcPr>
          <w:p w:rsidR="009E3B0E" w:rsidRDefault="009E3B0E" w:rsidP="00EB4052">
            <w:pPr>
              <w:rPr>
                <w:sz w:val="18"/>
                <w:szCs w:val="18"/>
              </w:rPr>
            </w:pPr>
            <w:r>
              <w:rPr>
                <w:sz w:val="18"/>
                <w:szCs w:val="18"/>
              </w:rPr>
              <w:t>*Significant at the 90 percent confidence level</w:t>
            </w:r>
          </w:p>
          <w:p w:rsidR="00EB4052" w:rsidRDefault="00EB4052" w:rsidP="00EB4052">
            <w:pPr>
              <w:rPr>
                <w:b/>
              </w:rPr>
            </w:pPr>
            <w:r>
              <w:rPr>
                <w:sz w:val="18"/>
                <w:szCs w:val="18"/>
              </w:rPr>
              <w:t>Source: 2005 and 2015 American Community Survey. For more information on the ACS, see census.gov/</w:t>
            </w:r>
            <w:proofErr w:type="spellStart"/>
            <w:r>
              <w:rPr>
                <w:sz w:val="18"/>
                <w:szCs w:val="18"/>
              </w:rPr>
              <w:t>acs</w:t>
            </w:r>
            <w:proofErr w:type="spellEnd"/>
            <w:r>
              <w:rPr>
                <w:sz w:val="18"/>
                <w:szCs w:val="18"/>
              </w:rPr>
              <w:t>.</w:t>
            </w:r>
          </w:p>
        </w:tc>
      </w:tr>
    </w:tbl>
    <w:p w:rsidR="009E67D1" w:rsidRDefault="009E67D1" w:rsidP="00A412B5">
      <w:pPr>
        <w:spacing w:line="360" w:lineRule="auto"/>
        <w:ind w:firstLine="720"/>
      </w:pPr>
    </w:p>
    <w:p w:rsidR="004554A0" w:rsidRDefault="00F41195" w:rsidP="00A412B5">
      <w:pPr>
        <w:spacing w:line="360" w:lineRule="auto"/>
        <w:ind w:firstLine="720"/>
      </w:pPr>
      <w:r>
        <w:t>Table 5</w:t>
      </w:r>
      <w:r w:rsidR="00407BD5">
        <w:t xml:space="preserve"> displays</w:t>
      </w:r>
      <w:r w:rsidR="00255D12">
        <w:t xml:space="preserve"> income in</w:t>
      </w:r>
      <w:r w:rsidR="00121826">
        <w:t>equality estimates</w:t>
      </w:r>
      <w:r w:rsidR="00407BD5">
        <w:t xml:space="preserve"> derived from</w:t>
      </w:r>
      <w:r w:rsidR="00255D12">
        <w:t xml:space="preserve"> after-tax, after-transfer household income.  </w:t>
      </w:r>
      <w:r w:rsidR="00407BD5">
        <w:t xml:space="preserve">Since after-tax, after-transfer household income measures the resources households have available to spend, the estimates in Table 5 are more informative than the estimates in Table 4 in helping us understand the economic well-being of households as well as the impact of government policy.  </w:t>
      </w:r>
    </w:p>
    <w:p w:rsidR="00750C12" w:rsidRDefault="00F41195" w:rsidP="00B83328">
      <w:pPr>
        <w:spacing w:line="360" w:lineRule="auto"/>
        <w:ind w:firstLine="720"/>
      </w:pPr>
      <w:r>
        <w:t>Just like Table 4</w:t>
      </w:r>
      <w:r w:rsidR="000A491D">
        <w:t>, all metrics are positive and statistically significant and the size of the percent change in the metrics from 2005 to 2015 varies significantly by metric.  Even after taxes and transfers are taken into account, each metric shows that income inequality increased from 2005 to 2015.</w:t>
      </w:r>
      <w:r w:rsidR="00E21BED">
        <w:t xml:space="preserve">  </w:t>
      </w:r>
      <w:r w:rsidR="00E21BED">
        <w:lastRenderedPageBreak/>
        <w:t>However, the size of this increase ranges from two percent, if income inequality is measured using the 50-10 ratio, to fourteen percent if income inequality is measured using the MLD.</w:t>
      </w:r>
    </w:p>
    <w:tbl>
      <w:tblPr>
        <w:tblStyle w:val="TableGrid"/>
        <w:tblW w:w="0" w:type="auto"/>
        <w:tblInd w:w="585" w:type="dxa"/>
        <w:tblLook w:val="04A0" w:firstRow="1" w:lastRow="0" w:firstColumn="1" w:lastColumn="0" w:noHBand="0" w:noVBand="1"/>
      </w:tblPr>
      <w:tblGrid>
        <w:gridCol w:w="1290"/>
        <w:gridCol w:w="1061"/>
        <w:gridCol w:w="1061"/>
        <w:gridCol w:w="1139"/>
        <w:gridCol w:w="1061"/>
        <w:gridCol w:w="1214"/>
        <w:gridCol w:w="1124"/>
        <w:gridCol w:w="1041"/>
      </w:tblGrid>
      <w:tr w:rsidR="003E7E90" w:rsidTr="003E7E90">
        <w:tc>
          <w:tcPr>
            <w:tcW w:w="8991" w:type="dxa"/>
            <w:gridSpan w:val="8"/>
          </w:tcPr>
          <w:p w:rsidR="003E7E90" w:rsidRDefault="003E7E90" w:rsidP="00B93FA7">
            <w:pPr>
              <w:jc w:val="center"/>
              <w:rPr>
                <w:b/>
              </w:rPr>
            </w:pPr>
            <w:r>
              <w:rPr>
                <w:b/>
              </w:rPr>
              <w:t xml:space="preserve">Table </w:t>
            </w:r>
            <w:r w:rsidR="00F41195">
              <w:rPr>
                <w:b/>
              </w:rPr>
              <w:t>5</w:t>
            </w:r>
            <w:r>
              <w:rPr>
                <w:b/>
              </w:rPr>
              <w:t>: After-tax, after-transfer income Inequality metric over time: Rank ordered</w:t>
            </w:r>
          </w:p>
        </w:tc>
      </w:tr>
      <w:tr w:rsidR="003E7E90" w:rsidTr="003E7E90">
        <w:tc>
          <w:tcPr>
            <w:tcW w:w="1290" w:type="dxa"/>
          </w:tcPr>
          <w:p w:rsidR="003E7E90" w:rsidRDefault="003E7E90" w:rsidP="00A36603">
            <w:pPr>
              <w:jc w:val="center"/>
              <w:rPr>
                <w:b/>
              </w:rPr>
            </w:pPr>
          </w:p>
        </w:tc>
        <w:tc>
          <w:tcPr>
            <w:tcW w:w="2122" w:type="dxa"/>
            <w:gridSpan w:val="2"/>
          </w:tcPr>
          <w:p w:rsidR="003E7E90" w:rsidRDefault="003E7E90" w:rsidP="00A36603">
            <w:pPr>
              <w:jc w:val="center"/>
              <w:rPr>
                <w:b/>
              </w:rPr>
            </w:pPr>
            <w:r>
              <w:rPr>
                <w:b/>
              </w:rPr>
              <w:t>2005</w:t>
            </w:r>
          </w:p>
        </w:tc>
        <w:tc>
          <w:tcPr>
            <w:tcW w:w="2200" w:type="dxa"/>
            <w:gridSpan w:val="2"/>
          </w:tcPr>
          <w:p w:rsidR="003E7E90" w:rsidRDefault="003E7E90" w:rsidP="00A36603">
            <w:pPr>
              <w:jc w:val="center"/>
              <w:rPr>
                <w:b/>
              </w:rPr>
            </w:pPr>
            <w:r>
              <w:rPr>
                <w:b/>
              </w:rPr>
              <w:t>2015</w:t>
            </w:r>
          </w:p>
        </w:tc>
        <w:tc>
          <w:tcPr>
            <w:tcW w:w="3379" w:type="dxa"/>
            <w:gridSpan w:val="3"/>
          </w:tcPr>
          <w:p w:rsidR="003E7E90" w:rsidRDefault="003E7E90" w:rsidP="00A36603">
            <w:pPr>
              <w:jc w:val="center"/>
              <w:rPr>
                <w:b/>
              </w:rPr>
            </w:pPr>
            <w:r>
              <w:rPr>
                <w:b/>
              </w:rPr>
              <w:t>Change in metric</w:t>
            </w:r>
          </w:p>
        </w:tc>
      </w:tr>
      <w:tr w:rsidR="003E7E90" w:rsidTr="003E7E90">
        <w:tc>
          <w:tcPr>
            <w:tcW w:w="1290" w:type="dxa"/>
          </w:tcPr>
          <w:p w:rsidR="003E7E90" w:rsidRDefault="003E7E90" w:rsidP="00A36603">
            <w:pPr>
              <w:jc w:val="center"/>
              <w:rPr>
                <w:b/>
              </w:rPr>
            </w:pPr>
          </w:p>
        </w:tc>
        <w:tc>
          <w:tcPr>
            <w:tcW w:w="1061" w:type="dxa"/>
          </w:tcPr>
          <w:p w:rsidR="003E7E90" w:rsidRDefault="000A491D" w:rsidP="00A36603">
            <w:pPr>
              <w:jc w:val="center"/>
              <w:rPr>
                <w:b/>
              </w:rPr>
            </w:pPr>
            <w:r>
              <w:rPr>
                <w:b/>
              </w:rPr>
              <w:t>E</w:t>
            </w:r>
            <w:r w:rsidR="003E7E90">
              <w:rPr>
                <w:b/>
              </w:rPr>
              <w:t>st</w:t>
            </w:r>
          </w:p>
        </w:tc>
        <w:tc>
          <w:tcPr>
            <w:tcW w:w="1061" w:type="dxa"/>
          </w:tcPr>
          <w:p w:rsidR="003E7E90" w:rsidRDefault="009D2D59" w:rsidP="00A36603">
            <w:pPr>
              <w:jc w:val="center"/>
              <w:rPr>
                <w:b/>
              </w:rPr>
            </w:pPr>
            <w:r>
              <w:rPr>
                <w:b/>
              </w:rPr>
              <w:t>Std. Err</w:t>
            </w:r>
          </w:p>
        </w:tc>
        <w:tc>
          <w:tcPr>
            <w:tcW w:w="1139" w:type="dxa"/>
          </w:tcPr>
          <w:p w:rsidR="003E7E90" w:rsidRDefault="001473D0" w:rsidP="00A36603">
            <w:pPr>
              <w:jc w:val="center"/>
              <w:rPr>
                <w:b/>
              </w:rPr>
            </w:pPr>
            <w:r>
              <w:rPr>
                <w:b/>
              </w:rPr>
              <w:t>E</w:t>
            </w:r>
            <w:r w:rsidR="003E7E90">
              <w:rPr>
                <w:b/>
              </w:rPr>
              <w:t>st</w:t>
            </w:r>
          </w:p>
        </w:tc>
        <w:tc>
          <w:tcPr>
            <w:tcW w:w="1061" w:type="dxa"/>
          </w:tcPr>
          <w:p w:rsidR="003E7E90" w:rsidRDefault="009D2D59" w:rsidP="00A36603">
            <w:pPr>
              <w:jc w:val="center"/>
              <w:rPr>
                <w:b/>
              </w:rPr>
            </w:pPr>
            <w:r>
              <w:rPr>
                <w:b/>
              </w:rPr>
              <w:t>Std. Err</w:t>
            </w:r>
          </w:p>
        </w:tc>
        <w:tc>
          <w:tcPr>
            <w:tcW w:w="1214" w:type="dxa"/>
          </w:tcPr>
          <w:p w:rsidR="003E7E90" w:rsidRDefault="003E7E90" w:rsidP="00A36603">
            <w:pPr>
              <w:jc w:val="center"/>
              <w:rPr>
                <w:b/>
              </w:rPr>
            </w:pPr>
            <w:r>
              <w:rPr>
                <w:b/>
              </w:rPr>
              <w:t>Percent</w:t>
            </w:r>
          </w:p>
        </w:tc>
        <w:tc>
          <w:tcPr>
            <w:tcW w:w="1124" w:type="dxa"/>
          </w:tcPr>
          <w:p w:rsidR="003E7E90" w:rsidRDefault="009D2D59" w:rsidP="00A36603">
            <w:pPr>
              <w:jc w:val="center"/>
              <w:rPr>
                <w:b/>
              </w:rPr>
            </w:pPr>
            <w:r>
              <w:rPr>
                <w:b/>
              </w:rPr>
              <w:t>Std. Err</w:t>
            </w:r>
          </w:p>
        </w:tc>
        <w:tc>
          <w:tcPr>
            <w:tcW w:w="1041" w:type="dxa"/>
          </w:tcPr>
          <w:p w:rsidR="003E7E90" w:rsidRDefault="003E7E90" w:rsidP="00A36603">
            <w:pPr>
              <w:jc w:val="center"/>
              <w:rPr>
                <w:b/>
              </w:rPr>
            </w:pPr>
            <w:r>
              <w:rPr>
                <w:b/>
              </w:rPr>
              <w:t>Rank</w:t>
            </w:r>
          </w:p>
        </w:tc>
      </w:tr>
      <w:tr w:rsidR="00B83328" w:rsidTr="00DB58A4">
        <w:tc>
          <w:tcPr>
            <w:tcW w:w="1290" w:type="dxa"/>
          </w:tcPr>
          <w:p w:rsidR="00B83328" w:rsidRDefault="00B83328" w:rsidP="00A36603">
            <w:pPr>
              <w:jc w:val="center"/>
              <w:rPr>
                <w:b/>
              </w:rPr>
            </w:pPr>
            <w:r>
              <w:rPr>
                <w:b/>
              </w:rPr>
              <w:t>MLD</w:t>
            </w:r>
          </w:p>
        </w:tc>
        <w:tc>
          <w:tcPr>
            <w:tcW w:w="1061" w:type="dxa"/>
          </w:tcPr>
          <w:p w:rsidR="00B83328" w:rsidRPr="00C66897" w:rsidRDefault="00B83328" w:rsidP="004554A0">
            <w:pPr>
              <w:jc w:val="right"/>
            </w:pPr>
            <w:r w:rsidRPr="00C66897">
              <w:t>0.38284</w:t>
            </w:r>
            <w:r w:rsidR="009E3B0E">
              <w:t>*</w:t>
            </w:r>
          </w:p>
        </w:tc>
        <w:tc>
          <w:tcPr>
            <w:tcW w:w="1061" w:type="dxa"/>
          </w:tcPr>
          <w:p w:rsidR="00B83328" w:rsidRPr="00C66897" w:rsidRDefault="00B83328" w:rsidP="004554A0">
            <w:pPr>
              <w:jc w:val="right"/>
            </w:pPr>
            <w:r w:rsidRPr="00C66897">
              <w:t>0.00134</w:t>
            </w:r>
          </w:p>
        </w:tc>
        <w:tc>
          <w:tcPr>
            <w:tcW w:w="1139" w:type="dxa"/>
          </w:tcPr>
          <w:p w:rsidR="00B83328" w:rsidRPr="00C66897" w:rsidRDefault="00B83328" w:rsidP="004554A0">
            <w:pPr>
              <w:jc w:val="right"/>
            </w:pPr>
            <w:r w:rsidRPr="00C66897">
              <w:t>0.43696</w:t>
            </w:r>
            <w:r w:rsidR="009E3B0E">
              <w:t>*</w:t>
            </w:r>
          </w:p>
        </w:tc>
        <w:tc>
          <w:tcPr>
            <w:tcW w:w="1061" w:type="dxa"/>
          </w:tcPr>
          <w:p w:rsidR="00B83328" w:rsidRPr="00C66897" w:rsidRDefault="00B83328" w:rsidP="004554A0">
            <w:pPr>
              <w:jc w:val="right"/>
            </w:pPr>
            <w:r w:rsidRPr="00C66897">
              <w:t>0.00128</w:t>
            </w:r>
          </w:p>
        </w:tc>
        <w:tc>
          <w:tcPr>
            <w:tcW w:w="1214" w:type="dxa"/>
          </w:tcPr>
          <w:p w:rsidR="00B83328" w:rsidRPr="00C66897" w:rsidRDefault="00B83328" w:rsidP="004554A0">
            <w:pPr>
              <w:jc w:val="right"/>
            </w:pPr>
            <w:r w:rsidRPr="00C66897">
              <w:t>14.14</w:t>
            </w:r>
            <w:r w:rsidR="009E3B0E">
              <w:t>*</w:t>
            </w:r>
          </w:p>
        </w:tc>
        <w:tc>
          <w:tcPr>
            <w:tcW w:w="1124" w:type="dxa"/>
            <w:vAlign w:val="bottom"/>
          </w:tcPr>
          <w:p w:rsidR="00B83328" w:rsidRDefault="00B83328">
            <w:pPr>
              <w:jc w:val="right"/>
              <w:rPr>
                <w:rFonts w:ascii="Calibri" w:hAnsi="Calibri"/>
                <w:color w:val="000000"/>
              </w:rPr>
            </w:pPr>
            <w:r>
              <w:rPr>
                <w:rFonts w:ascii="Calibri" w:hAnsi="Calibri"/>
                <w:color w:val="000000"/>
              </w:rPr>
              <w:t>0.52094</w:t>
            </w:r>
          </w:p>
        </w:tc>
        <w:tc>
          <w:tcPr>
            <w:tcW w:w="1041" w:type="dxa"/>
          </w:tcPr>
          <w:p w:rsidR="00B83328" w:rsidRPr="00C66897" w:rsidRDefault="00B83328" w:rsidP="00A36603">
            <w:pPr>
              <w:jc w:val="center"/>
            </w:pPr>
            <w:r w:rsidRPr="00C66897">
              <w:t>1</w:t>
            </w:r>
          </w:p>
        </w:tc>
      </w:tr>
      <w:tr w:rsidR="00B83328" w:rsidTr="00DB58A4">
        <w:tc>
          <w:tcPr>
            <w:tcW w:w="1290" w:type="dxa"/>
          </w:tcPr>
          <w:p w:rsidR="00B83328" w:rsidRDefault="00B83328" w:rsidP="00A36603">
            <w:pPr>
              <w:jc w:val="center"/>
              <w:rPr>
                <w:b/>
              </w:rPr>
            </w:pPr>
            <w:r>
              <w:rPr>
                <w:b/>
              </w:rPr>
              <w:t>Palma</w:t>
            </w:r>
          </w:p>
        </w:tc>
        <w:tc>
          <w:tcPr>
            <w:tcW w:w="1061" w:type="dxa"/>
          </w:tcPr>
          <w:p w:rsidR="00B83328" w:rsidRPr="00C66897" w:rsidRDefault="00B83328" w:rsidP="004554A0">
            <w:pPr>
              <w:jc w:val="right"/>
            </w:pPr>
            <w:r w:rsidRPr="00C66897">
              <w:t>1.82771</w:t>
            </w:r>
            <w:r w:rsidR="009E3B0E">
              <w:t>*</w:t>
            </w:r>
          </w:p>
        </w:tc>
        <w:tc>
          <w:tcPr>
            <w:tcW w:w="1061" w:type="dxa"/>
          </w:tcPr>
          <w:p w:rsidR="00B83328" w:rsidRPr="00C66897" w:rsidRDefault="00B83328" w:rsidP="004554A0">
            <w:pPr>
              <w:jc w:val="right"/>
            </w:pPr>
            <w:r w:rsidRPr="00C66897">
              <w:t>0.00446</w:t>
            </w:r>
          </w:p>
        </w:tc>
        <w:tc>
          <w:tcPr>
            <w:tcW w:w="1139" w:type="dxa"/>
          </w:tcPr>
          <w:p w:rsidR="00B83328" w:rsidRPr="00C66897" w:rsidRDefault="00B83328" w:rsidP="004554A0">
            <w:pPr>
              <w:jc w:val="right"/>
            </w:pPr>
            <w:r w:rsidRPr="00C66897">
              <w:t>1.98921</w:t>
            </w:r>
            <w:r w:rsidR="009E3B0E">
              <w:t>*</w:t>
            </w:r>
          </w:p>
        </w:tc>
        <w:tc>
          <w:tcPr>
            <w:tcW w:w="1061" w:type="dxa"/>
          </w:tcPr>
          <w:p w:rsidR="00B83328" w:rsidRPr="00C66897" w:rsidRDefault="00B83328" w:rsidP="004554A0">
            <w:pPr>
              <w:jc w:val="right"/>
            </w:pPr>
            <w:r w:rsidRPr="00C66897">
              <w:t>0.00343</w:t>
            </w:r>
          </w:p>
        </w:tc>
        <w:tc>
          <w:tcPr>
            <w:tcW w:w="1214" w:type="dxa"/>
          </w:tcPr>
          <w:p w:rsidR="00B83328" w:rsidRPr="00C66897" w:rsidRDefault="00B83328" w:rsidP="004554A0">
            <w:pPr>
              <w:jc w:val="right"/>
            </w:pPr>
            <w:r w:rsidRPr="00C66897">
              <w:t>8.84</w:t>
            </w:r>
            <w:r w:rsidR="009E3B0E">
              <w:t>*</w:t>
            </w:r>
          </w:p>
        </w:tc>
        <w:tc>
          <w:tcPr>
            <w:tcW w:w="1124" w:type="dxa"/>
            <w:vAlign w:val="bottom"/>
          </w:tcPr>
          <w:p w:rsidR="00B83328" w:rsidRDefault="00B83328">
            <w:pPr>
              <w:jc w:val="right"/>
              <w:rPr>
                <w:rFonts w:ascii="Calibri" w:hAnsi="Calibri"/>
                <w:color w:val="000000"/>
              </w:rPr>
            </w:pPr>
            <w:r>
              <w:rPr>
                <w:rFonts w:ascii="Calibri" w:hAnsi="Calibri"/>
                <w:color w:val="000000"/>
              </w:rPr>
              <w:t>0.32520</w:t>
            </w:r>
          </w:p>
        </w:tc>
        <w:tc>
          <w:tcPr>
            <w:tcW w:w="1041" w:type="dxa"/>
          </w:tcPr>
          <w:p w:rsidR="00B83328" w:rsidRPr="00C66897" w:rsidRDefault="00B83328" w:rsidP="00A36603">
            <w:pPr>
              <w:jc w:val="center"/>
            </w:pPr>
            <w:r w:rsidRPr="00C66897">
              <w:t>2</w:t>
            </w:r>
          </w:p>
        </w:tc>
      </w:tr>
      <w:tr w:rsidR="00B83328" w:rsidTr="00DB58A4">
        <w:tc>
          <w:tcPr>
            <w:tcW w:w="1290" w:type="dxa"/>
          </w:tcPr>
          <w:p w:rsidR="00B83328" w:rsidRDefault="00B83328" w:rsidP="00A36603">
            <w:pPr>
              <w:jc w:val="center"/>
              <w:rPr>
                <w:b/>
              </w:rPr>
            </w:pPr>
            <w:r>
              <w:rPr>
                <w:b/>
              </w:rPr>
              <w:t>Theil</w:t>
            </w:r>
          </w:p>
        </w:tc>
        <w:tc>
          <w:tcPr>
            <w:tcW w:w="1061" w:type="dxa"/>
          </w:tcPr>
          <w:p w:rsidR="00B83328" w:rsidRPr="00C66897" w:rsidRDefault="00B83328" w:rsidP="004554A0">
            <w:pPr>
              <w:jc w:val="right"/>
            </w:pPr>
            <w:r w:rsidRPr="00C66897">
              <w:t>0.28924</w:t>
            </w:r>
            <w:r w:rsidR="009E3B0E">
              <w:t>*</w:t>
            </w:r>
          </w:p>
        </w:tc>
        <w:tc>
          <w:tcPr>
            <w:tcW w:w="1061" w:type="dxa"/>
          </w:tcPr>
          <w:p w:rsidR="00B83328" w:rsidRPr="00C66897" w:rsidRDefault="00B83328" w:rsidP="004554A0">
            <w:pPr>
              <w:jc w:val="right"/>
            </w:pPr>
            <w:r w:rsidRPr="00C66897">
              <w:t>0.00086</w:t>
            </w:r>
          </w:p>
        </w:tc>
        <w:tc>
          <w:tcPr>
            <w:tcW w:w="1139" w:type="dxa"/>
          </w:tcPr>
          <w:p w:rsidR="00B83328" w:rsidRPr="00C66897" w:rsidRDefault="00B83328" w:rsidP="004554A0">
            <w:pPr>
              <w:jc w:val="right"/>
            </w:pPr>
            <w:r w:rsidRPr="00C66897">
              <w:t>0.31315</w:t>
            </w:r>
            <w:r w:rsidR="009E3B0E">
              <w:t>*</w:t>
            </w:r>
          </w:p>
        </w:tc>
        <w:tc>
          <w:tcPr>
            <w:tcW w:w="1061" w:type="dxa"/>
          </w:tcPr>
          <w:p w:rsidR="00B83328" w:rsidRPr="00C66897" w:rsidRDefault="00B83328" w:rsidP="004554A0">
            <w:pPr>
              <w:jc w:val="right"/>
            </w:pPr>
            <w:r w:rsidRPr="00C66897">
              <w:t>0.00083</w:t>
            </w:r>
          </w:p>
        </w:tc>
        <w:tc>
          <w:tcPr>
            <w:tcW w:w="1214" w:type="dxa"/>
          </w:tcPr>
          <w:p w:rsidR="00B83328" w:rsidRPr="00C66897" w:rsidRDefault="00B83328" w:rsidP="004554A0">
            <w:pPr>
              <w:jc w:val="right"/>
            </w:pPr>
            <w:r w:rsidRPr="00C66897">
              <w:t>8.27</w:t>
            </w:r>
            <w:r w:rsidR="009E3B0E">
              <w:t>*</w:t>
            </w:r>
          </w:p>
        </w:tc>
        <w:tc>
          <w:tcPr>
            <w:tcW w:w="1124" w:type="dxa"/>
            <w:vAlign w:val="bottom"/>
          </w:tcPr>
          <w:p w:rsidR="00B83328" w:rsidRDefault="00B83328">
            <w:pPr>
              <w:jc w:val="right"/>
              <w:rPr>
                <w:rFonts w:ascii="Calibri" w:hAnsi="Calibri"/>
                <w:color w:val="000000"/>
              </w:rPr>
            </w:pPr>
            <w:r>
              <w:rPr>
                <w:rFonts w:ascii="Calibri" w:hAnsi="Calibri"/>
                <w:color w:val="000000"/>
              </w:rPr>
              <w:t>0.43124</w:t>
            </w:r>
          </w:p>
        </w:tc>
        <w:tc>
          <w:tcPr>
            <w:tcW w:w="1041" w:type="dxa"/>
          </w:tcPr>
          <w:p w:rsidR="00B83328" w:rsidRPr="00C66897" w:rsidRDefault="00B83328" w:rsidP="00A36603">
            <w:pPr>
              <w:jc w:val="center"/>
            </w:pPr>
            <w:r w:rsidRPr="00C66897">
              <w:t>2</w:t>
            </w:r>
          </w:p>
        </w:tc>
      </w:tr>
      <w:tr w:rsidR="00B83328" w:rsidTr="00DB58A4">
        <w:tc>
          <w:tcPr>
            <w:tcW w:w="1290" w:type="dxa"/>
          </w:tcPr>
          <w:p w:rsidR="00B83328" w:rsidRDefault="00B83328" w:rsidP="00A36603">
            <w:pPr>
              <w:jc w:val="center"/>
              <w:rPr>
                <w:b/>
              </w:rPr>
            </w:pPr>
            <w:r>
              <w:rPr>
                <w:b/>
              </w:rPr>
              <w:t>90-10</w:t>
            </w:r>
          </w:p>
        </w:tc>
        <w:tc>
          <w:tcPr>
            <w:tcW w:w="1061" w:type="dxa"/>
          </w:tcPr>
          <w:p w:rsidR="00B83328" w:rsidRPr="00C66897" w:rsidRDefault="00B83328" w:rsidP="004554A0">
            <w:pPr>
              <w:jc w:val="right"/>
            </w:pPr>
            <w:r w:rsidRPr="00C66897">
              <w:t>7.07097</w:t>
            </w:r>
            <w:r w:rsidR="009E3B0E">
              <w:t>*</w:t>
            </w:r>
          </w:p>
        </w:tc>
        <w:tc>
          <w:tcPr>
            <w:tcW w:w="1061" w:type="dxa"/>
          </w:tcPr>
          <w:p w:rsidR="00B83328" w:rsidRPr="00C66897" w:rsidRDefault="00B83328" w:rsidP="004554A0">
            <w:pPr>
              <w:jc w:val="right"/>
            </w:pPr>
            <w:r w:rsidRPr="00C66897">
              <w:t>0.00036</w:t>
            </w:r>
          </w:p>
        </w:tc>
        <w:tc>
          <w:tcPr>
            <w:tcW w:w="1139" w:type="dxa"/>
          </w:tcPr>
          <w:p w:rsidR="00B83328" w:rsidRPr="00C66897" w:rsidRDefault="00B83328" w:rsidP="004554A0">
            <w:pPr>
              <w:jc w:val="right"/>
            </w:pPr>
            <w:r w:rsidRPr="00C66897">
              <w:t>7.49384</w:t>
            </w:r>
            <w:r w:rsidR="009E3B0E">
              <w:t>*</w:t>
            </w:r>
          </w:p>
        </w:tc>
        <w:tc>
          <w:tcPr>
            <w:tcW w:w="1061" w:type="dxa"/>
          </w:tcPr>
          <w:p w:rsidR="00B83328" w:rsidRPr="00C66897" w:rsidRDefault="00B83328" w:rsidP="004554A0">
            <w:pPr>
              <w:jc w:val="right"/>
            </w:pPr>
            <w:r w:rsidRPr="00C66897">
              <w:t>0.00033</w:t>
            </w:r>
          </w:p>
        </w:tc>
        <w:tc>
          <w:tcPr>
            <w:tcW w:w="1214" w:type="dxa"/>
          </w:tcPr>
          <w:p w:rsidR="00B83328" w:rsidRPr="00C66897" w:rsidRDefault="00B83328" w:rsidP="004554A0">
            <w:pPr>
              <w:jc w:val="right"/>
            </w:pPr>
            <w:r w:rsidRPr="00C66897">
              <w:t>5.98</w:t>
            </w:r>
            <w:r w:rsidR="009E3B0E">
              <w:t>*</w:t>
            </w:r>
          </w:p>
        </w:tc>
        <w:tc>
          <w:tcPr>
            <w:tcW w:w="1124" w:type="dxa"/>
            <w:vAlign w:val="bottom"/>
          </w:tcPr>
          <w:p w:rsidR="00B83328" w:rsidRDefault="00B83328">
            <w:pPr>
              <w:jc w:val="right"/>
              <w:rPr>
                <w:rFonts w:ascii="Calibri" w:hAnsi="Calibri"/>
                <w:color w:val="000000"/>
              </w:rPr>
            </w:pPr>
            <w:r>
              <w:rPr>
                <w:rFonts w:ascii="Calibri" w:hAnsi="Calibri"/>
                <w:color w:val="000000"/>
              </w:rPr>
              <w:t>0.00713</w:t>
            </w:r>
          </w:p>
        </w:tc>
        <w:tc>
          <w:tcPr>
            <w:tcW w:w="1041" w:type="dxa"/>
          </w:tcPr>
          <w:p w:rsidR="00B83328" w:rsidRPr="00C66897" w:rsidRDefault="00B83328" w:rsidP="00A36603">
            <w:pPr>
              <w:jc w:val="center"/>
            </w:pPr>
            <w:r w:rsidRPr="00C66897">
              <w:t>4</w:t>
            </w:r>
          </w:p>
        </w:tc>
      </w:tr>
      <w:tr w:rsidR="00B83328" w:rsidTr="00DB58A4">
        <w:tc>
          <w:tcPr>
            <w:tcW w:w="1290" w:type="dxa"/>
          </w:tcPr>
          <w:p w:rsidR="00B83328" w:rsidRDefault="00B83328" w:rsidP="00A36603">
            <w:pPr>
              <w:jc w:val="center"/>
              <w:rPr>
                <w:b/>
              </w:rPr>
            </w:pPr>
            <w:r>
              <w:rPr>
                <w:b/>
              </w:rPr>
              <w:t>80-20</w:t>
            </w:r>
          </w:p>
        </w:tc>
        <w:tc>
          <w:tcPr>
            <w:tcW w:w="1061" w:type="dxa"/>
          </w:tcPr>
          <w:p w:rsidR="00B83328" w:rsidRPr="00C66897" w:rsidRDefault="00B83328" w:rsidP="004554A0">
            <w:pPr>
              <w:jc w:val="right"/>
            </w:pPr>
            <w:r w:rsidRPr="00C66897">
              <w:t>3.41872</w:t>
            </w:r>
            <w:r w:rsidR="009E3B0E">
              <w:t>*</w:t>
            </w:r>
          </w:p>
        </w:tc>
        <w:tc>
          <w:tcPr>
            <w:tcW w:w="1061" w:type="dxa"/>
          </w:tcPr>
          <w:p w:rsidR="00B83328" w:rsidRPr="00C66897" w:rsidRDefault="00B83328" w:rsidP="004554A0">
            <w:pPr>
              <w:jc w:val="right"/>
            </w:pPr>
            <w:r w:rsidRPr="00C66897">
              <w:t>0.00011</w:t>
            </w:r>
          </w:p>
        </w:tc>
        <w:tc>
          <w:tcPr>
            <w:tcW w:w="1139" w:type="dxa"/>
          </w:tcPr>
          <w:p w:rsidR="00B83328" w:rsidRPr="00C66897" w:rsidRDefault="00B83328" w:rsidP="004554A0">
            <w:pPr>
              <w:jc w:val="right"/>
            </w:pPr>
            <w:r w:rsidRPr="00C66897">
              <w:t>3.59064</w:t>
            </w:r>
            <w:r w:rsidR="009E3B0E">
              <w:t>*</w:t>
            </w:r>
          </w:p>
        </w:tc>
        <w:tc>
          <w:tcPr>
            <w:tcW w:w="1061" w:type="dxa"/>
          </w:tcPr>
          <w:p w:rsidR="00B83328" w:rsidRPr="00C66897" w:rsidRDefault="00B83328" w:rsidP="004554A0">
            <w:pPr>
              <w:jc w:val="right"/>
            </w:pPr>
            <w:r w:rsidRPr="00C66897">
              <w:t>0.00010</w:t>
            </w:r>
          </w:p>
        </w:tc>
        <w:tc>
          <w:tcPr>
            <w:tcW w:w="1214" w:type="dxa"/>
          </w:tcPr>
          <w:p w:rsidR="00B83328" w:rsidRPr="00C66897" w:rsidRDefault="00B83328" w:rsidP="004554A0">
            <w:pPr>
              <w:jc w:val="right"/>
            </w:pPr>
            <w:r w:rsidRPr="00C66897">
              <w:t>5.03</w:t>
            </w:r>
            <w:r w:rsidR="009E3B0E">
              <w:t>*</w:t>
            </w:r>
          </w:p>
        </w:tc>
        <w:tc>
          <w:tcPr>
            <w:tcW w:w="1124" w:type="dxa"/>
            <w:vAlign w:val="bottom"/>
          </w:tcPr>
          <w:p w:rsidR="00B83328" w:rsidRDefault="00B83328">
            <w:pPr>
              <w:jc w:val="right"/>
              <w:rPr>
                <w:rFonts w:ascii="Calibri" w:hAnsi="Calibri"/>
                <w:color w:val="000000"/>
              </w:rPr>
            </w:pPr>
            <w:r>
              <w:rPr>
                <w:rFonts w:ascii="Calibri" w:hAnsi="Calibri"/>
                <w:color w:val="000000"/>
              </w:rPr>
              <w:t>0.00447</w:t>
            </w:r>
          </w:p>
        </w:tc>
        <w:tc>
          <w:tcPr>
            <w:tcW w:w="1041" w:type="dxa"/>
          </w:tcPr>
          <w:p w:rsidR="00B83328" w:rsidRPr="00C66897" w:rsidRDefault="00B83328" w:rsidP="00A36603">
            <w:pPr>
              <w:jc w:val="center"/>
            </w:pPr>
            <w:r w:rsidRPr="00C66897">
              <w:t>5</w:t>
            </w:r>
          </w:p>
        </w:tc>
      </w:tr>
      <w:tr w:rsidR="00B83328" w:rsidTr="00DB58A4">
        <w:tc>
          <w:tcPr>
            <w:tcW w:w="1290" w:type="dxa"/>
          </w:tcPr>
          <w:p w:rsidR="00B83328" w:rsidRDefault="00B83328" w:rsidP="00A36603">
            <w:pPr>
              <w:jc w:val="center"/>
              <w:rPr>
                <w:b/>
              </w:rPr>
            </w:pPr>
            <w:r>
              <w:rPr>
                <w:b/>
              </w:rPr>
              <w:t>99-90</w:t>
            </w:r>
          </w:p>
        </w:tc>
        <w:tc>
          <w:tcPr>
            <w:tcW w:w="1061" w:type="dxa"/>
          </w:tcPr>
          <w:p w:rsidR="00B83328" w:rsidRPr="00C66897" w:rsidRDefault="00B83328" w:rsidP="004554A0">
            <w:pPr>
              <w:jc w:val="right"/>
            </w:pPr>
            <w:r w:rsidRPr="00C66897">
              <w:t>2.27072</w:t>
            </w:r>
            <w:r w:rsidR="009E3B0E">
              <w:t>*</w:t>
            </w:r>
          </w:p>
        </w:tc>
        <w:tc>
          <w:tcPr>
            <w:tcW w:w="1061" w:type="dxa"/>
          </w:tcPr>
          <w:p w:rsidR="00B83328" w:rsidRPr="00C66897" w:rsidRDefault="00B83328" w:rsidP="004554A0">
            <w:pPr>
              <w:jc w:val="right"/>
            </w:pPr>
            <w:r w:rsidRPr="00C66897">
              <w:t>0.00011</w:t>
            </w:r>
          </w:p>
        </w:tc>
        <w:tc>
          <w:tcPr>
            <w:tcW w:w="1139" w:type="dxa"/>
          </w:tcPr>
          <w:p w:rsidR="00B83328" w:rsidRPr="00C66897" w:rsidRDefault="00B83328" w:rsidP="004554A0">
            <w:pPr>
              <w:jc w:val="right"/>
            </w:pPr>
            <w:r w:rsidRPr="00C66897">
              <w:t>2.37302</w:t>
            </w:r>
            <w:r w:rsidR="009E3B0E">
              <w:t>*</w:t>
            </w:r>
          </w:p>
        </w:tc>
        <w:tc>
          <w:tcPr>
            <w:tcW w:w="1061" w:type="dxa"/>
          </w:tcPr>
          <w:p w:rsidR="00B83328" w:rsidRPr="00C66897" w:rsidRDefault="00B83328" w:rsidP="004554A0">
            <w:pPr>
              <w:jc w:val="right"/>
            </w:pPr>
            <w:r w:rsidRPr="00C66897">
              <w:t>0.00008</w:t>
            </w:r>
          </w:p>
        </w:tc>
        <w:tc>
          <w:tcPr>
            <w:tcW w:w="1214" w:type="dxa"/>
          </w:tcPr>
          <w:p w:rsidR="00B83328" w:rsidRPr="00C66897" w:rsidRDefault="00B83328" w:rsidP="004554A0">
            <w:pPr>
              <w:jc w:val="right"/>
            </w:pPr>
            <w:r w:rsidRPr="00C66897">
              <w:t>4.51</w:t>
            </w:r>
            <w:r w:rsidR="009E3B0E">
              <w:t>*</w:t>
            </w:r>
          </w:p>
        </w:tc>
        <w:tc>
          <w:tcPr>
            <w:tcW w:w="1124" w:type="dxa"/>
            <w:vAlign w:val="bottom"/>
          </w:tcPr>
          <w:p w:rsidR="00B83328" w:rsidRDefault="00B83328">
            <w:pPr>
              <w:jc w:val="right"/>
              <w:rPr>
                <w:rFonts w:ascii="Calibri" w:hAnsi="Calibri"/>
                <w:color w:val="000000"/>
              </w:rPr>
            </w:pPr>
            <w:r>
              <w:rPr>
                <w:rFonts w:ascii="Calibri" w:hAnsi="Calibri"/>
                <w:color w:val="000000"/>
              </w:rPr>
              <w:t>0.00617</w:t>
            </w:r>
          </w:p>
        </w:tc>
        <w:tc>
          <w:tcPr>
            <w:tcW w:w="1041" w:type="dxa"/>
          </w:tcPr>
          <w:p w:rsidR="00B83328" w:rsidRPr="00C66897" w:rsidRDefault="00B83328" w:rsidP="00A36603">
            <w:pPr>
              <w:jc w:val="center"/>
            </w:pPr>
            <w:r w:rsidRPr="00C66897">
              <w:t>6</w:t>
            </w:r>
          </w:p>
        </w:tc>
      </w:tr>
      <w:tr w:rsidR="00B83328" w:rsidTr="00DB58A4">
        <w:tc>
          <w:tcPr>
            <w:tcW w:w="1290" w:type="dxa"/>
          </w:tcPr>
          <w:p w:rsidR="00B83328" w:rsidRDefault="00B83328" w:rsidP="00A36603">
            <w:pPr>
              <w:jc w:val="center"/>
              <w:rPr>
                <w:b/>
              </w:rPr>
            </w:pPr>
            <w:r>
              <w:rPr>
                <w:b/>
              </w:rPr>
              <w:t>90-50</w:t>
            </w:r>
          </w:p>
        </w:tc>
        <w:tc>
          <w:tcPr>
            <w:tcW w:w="1061" w:type="dxa"/>
          </w:tcPr>
          <w:p w:rsidR="00B83328" w:rsidRPr="00C66897" w:rsidRDefault="00B83328" w:rsidP="004554A0">
            <w:pPr>
              <w:jc w:val="right"/>
            </w:pPr>
            <w:r w:rsidRPr="00C66897">
              <w:t>2.23305</w:t>
            </w:r>
            <w:r w:rsidR="009E3B0E">
              <w:t>*</w:t>
            </w:r>
          </w:p>
        </w:tc>
        <w:tc>
          <w:tcPr>
            <w:tcW w:w="1061" w:type="dxa"/>
          </w:tcPr>
          <w:p w:rsidR="00B83328" w:rsidRPr="00C66897" w:rsidRDefault="00B83328" w:rsidP="004554A0">
            <w:pPr>
              <w:jc w:val="right"/>
            </w:pPr>
            <w:r w:rsidRPr="00C66897">
              <w:t>0.00004</w:t>
            </w:r>
          </w:p>
        </w:tc>
        <w:tc>
          <w:tcPr>
            <w:tcW w:w="1139" w:type="dxa"/>
          </w:tcPr>
          <w:p w:rsidR="00B83328" w:rsidRPr="00C66897" w:rsidRDefault="00B83328" w:rsidP="004554A0">
            <w:pPr>
              <w:jc w:val="right"/>
            </w:pPr>
            <w:r w:rsidRPr="00C66897">
              <w:t>2.32008</w:t>
            </w:r>
            <w:r w:rsidR="009E3B0E">
              <w:t>*</w:t>
            </w:r>
          </w:p>
        </w:tc>
        <w:tc>
          <w:tcPr>
            <w:tcW w:w="1061" w:type="dxa"/>
          </w:tcPr>
          <w:p w:rsidR="00B83328" w:rsidRPr="00C66897" w:rsidRDefault="00B83328" w:rsidP="004554A0">
            <w:pPr>
              <w:jc w:val="right"/>
            </w:pPr>
            <w:r w:rsidRPr="00C66897">
              <w:t>0.00004</w:t>
            </w:r>
          </w:p>
        </w:tc>
        <w:tc>
          <w:tcPr>
            <w:tcW w:w="1214" w:type="dxa"/>
          </w:tcPr>
          <w:p w:rsidR="00B83328" w:rsidRPr="00C66897" w:rsidRDefault="00B83328" w:rsidP="004554A0">
            <w:pPr>
              <w:jc w:val="right"/>
            </w:pPr>
            <w:r w:rsidRPr="00C66897">
              <w:t>3.90</w:t>
            </w:r>
            <w:r w:rsidR="009E3B0E">
              <w:t>*</w:t>
            </w:r>
          </w:p>
        </w:tc>
        <w:tc>
          <w:tcPr>
            <w:tcW w:w="1124" w:type="dxa"/>
            <w:vAlign w:val="bottom"/>
          </w:tcPr>
          <w:p w:rsidR="00B83328" w:rsidRDefault="00B83328">
            <w:pPr>
              <w:jc w:val="right"/>
              <w:rPr>
                <w:rFonts w:ascii="Calibri" w:hAnsi="Calibri"/>
                <w:color w:val="000000"/>
              </w:rPr>
            </w:pPr>
            <w:r>
              <w:rPr>
                <w:rFonts w:ascii="Calibri" w:hAnsi="Calibri"/>
                <w:color w:val="000000"/>
              </w:rPr>
              <w:t>0.00258</w:t>
            </w:r>
          </w:p>
        </w:tc>
        <w:tc>
          <w:tcPr>
            <w:tcW w:w="1041" w:type="dxa"/>
          </w:tcPr>
          <w:p w:rsidR="00B83328" w:rsidRPr="00C66897" w:rsidRDefault="00B83328" w:rsidP="00A36603">
            <w:pPr>
              <w:jc w:val="center"/>
            </w:pPr>
            <w:r w:rsidRPr="00C66897">
              <w:t>7</w:t>
            </w:r>
          </w:p>
        </w:tc>
      </w:tr>
      <w:tr w:rsidR="00B83328" w:rsidTr="00DB58A4">
        <w:tc>
          <w:tcPr>
            <w:tcW w:w="1290" w:type="dxa"/>
          </w:tcPr>
          <w:p w:rsidR="00B83328" w:rsidRDefault="00B83328" w:rsidP="00A36603">
            <w:pPr>
              <w:jc w:val="center"/>
              <w:rPr>
                <w:b/>
              </w:rPr>
            </w:pPr>
            <w:r>
              <w:rPr>
                <w:b/>
              </w:rPr>
              <w:t>Gini</w:t>
            </w:r>
          </w:p>
        </w:tc>
        <w:tc>
          <w:tcPr>
            <w:tcW w:w="1061" w:type="dxa"/>
          </w:tcPr>
          <w:p w:rsidR="00B83328" w:rsidRPr="00C66897" w:rsidRDefault="00B83328" w:rsidP="004554A0">
            <w:pPr>
              <w:jc w:val="right"/>
            </w:pPr>
            <w:r w:rsidRPr="00C66897">
              <w:t>0.39189</w:t>
            </w:r>
            <w:r w:rsidR="009E3B0E">
              <w:t>*</w:t>
            </w:r>
          </w:p>
        </w:tc>
        <w:tc>
          <w:tcPr>
            <w:tcW w:w="1061" w:type="dxa"/>
          </w:tcPr>
          <w:p w:rsidR="00B83328" w:rsidRPr="00C66897" w:rsidRDefault="00B83328" w:rsidP="004554A0">
            <w:pPr>
              <w:jc w:val="right"/>
            </w:pPr>
            <w:r w:rsidRPr="00C66897">
              <w:t>0.00046</w:t>
            </w:r>
          </w:p>
        </w:tc>
        <w:tc>
          <w:tcPr>
            <w:tcW w:w="1139" w:type="dxa"/>
          </w:tcPr>
          <w:p w:rsidR="00B83328" w:rsidRPr="00C66897" w:rsidRDefault="00B83328" w:rsidP="004554A0">
            <w:pPr>
              <w:jc w:val="right"/>
            </w:pPr>
            <w:r w:rsidRPr="00C66897">
              <w:t>0.40474</w:t>
            </w:r>
            <w:r w:rsidR="009E3B0E">
              <w:t>*</w:t>
            </w:r>
          </w:p>
        </w:tc>
        <w:tc>
          <w:tcPr>
            <w:tcW w:w="1061" w:type="dxa"/>
          </w:tcPr>
          <w:p w:rsidR="00B83328" w:rsidRPr="00C66897" w:rsidRDefault="00B83328" w:rsidP="004554A0">
            <w:pPr>
              <w:jc w:val="right"/>
            </w:pPr>
            <w:r w:rsidRPr="00C66897">
              <w:t>0.00035</w:t>
            </w:r>
          </w:p>
        </w:tc>
        <w:tc>
          <w:tcPr>
            <w:tcW w:w="1214" w:type="dxa"/>
          </w:tcPr>
          <w:p w:rsidR="00B83328" w:rsidRPr="00C66897" w:rsidRDefault="00B83328" w:rsidP="004554A0">
            <w:pPr>
              <w:jc w:val="right"/>
            </w:pPr>
            <w:r w:rsidRPr="00C66897">
              <w:t>3.28</w:t>
            </w:r>
            <w:r w:rsidR="009E3B0E">
              <w:t>*</w:t>
            </w:r>
          </w:p>
        </w:tc>
        <w:tc>
          <w:tcPr>
            <w:tcW w:w="1124" w:type="dxa"/>
            <w:vAlign w:val="bottom"/>
          </w:tcPr>
          <w:p w:rsidR="00B83328" w:rsidRDefault="00B83328">
            <w:pPr>
              <w:jc w:val="right"/>
              <w:rPr>
                <w:rFonts w:ascii="Calibri" w:hAnsi="Calibri"/>
                <w:color w:val="000000"/>
              </w:rPr>
            </w:pPr>
            <w:r>
              <w:rPr>
                <w:rFonts w:ascii="Calibri" w:hAnsi="Calibri"/>
                <w:color w:val="000000"/>
              </w:rPr>
              <w:t>0.15058</w:t>
            </w:r>
          </w:p>
        </w:tc>
        <w:tc>
          <w:tcPr>
            <w:tcW w:w="1041" w:type="dxa"/>
          </w:tcPr>
          <w:p w:rsidR="00B83328" w:rsidRPr="00C66897" w:rsidRDefault="00B83328" w:rsidP="00A36603">
            <w:pPr>
              <w:jc w:val="center"/>
            </w:pPr>
            <w:r w:rsidRPr="00C66897">
              <w:t>8</w:t>
            </w:r>
          </w:p>
        </w:tc>
      </w:tr>
      <w:tr w:rsidR="00B83328" w:rsidTr="00DB58A4">
        <w:tc>
          <w:tcPr>
            <w:tcW w:w="1290" w:type="dxa"/>
          </w:tcPr>
          <w:p w:rsidR="00B83328" w:rsidRDefault="00B83328" w:rsidP="00A36603">
            <w:pPr>
              <w:jc w:val="center"/>
              <w:rPr>
                <w:b/>
              </w:rPr>
            </w:pPr>
            <w:r>
              <w:rPr>
                <w:b/>
              </w:rPr>
              <w:t>50-10</w:t>
            </w:r>
          </w:p>
        </w:tc>
        <w:tc>
          <w:tcPr>
            <w:tcW w:w="1061" w:type="dxa"/>
          </w:tcPr>
          <w:p w:rsidR="00B83328" w:rsidRPr="00C66897" w:rsidRDefault="00B83328" w:rsidP="004554A0">
            <w:pPr>
              <w:jc w:val="right"/>
            </w:pPr>
            <w:r w:rsidRPr="00C66897">
              <w:t>3.16651</w:t>
            </w:r>
            <w:r w:rsidR="009E3B0E">
              <w:t>*</w:t>
            </w:r>
          </w:p>
        </w:tc>
        <w:tc>
          <w:tcPr>
            <w:tcW w:w="1061" w:type="dxa"/>
          </w:tcPr>
          <w:p w:rsidR="00B83328" w:rsidRPr="00C66897" w:rsidRDefault="00B83328" w:rsidP="004554A0">
            <w:pPr>
              <w:jc w:val="right"/>
            </w:pPr>
            <w:r w:rsidRPr="00C66897">
              <w:t>0.00008</w:t>
            </w:r>
          </w:p>
        </w:tc>
        <w:tc>
          <w:tcPr>
            <w:tcW w:w="1139" w:type="dxa"/>
          </w:tcPr>
          <w:p w:rsidR="00B83328" w:rsidRPr="00C66897" w:rsidRDefault="00B83328" w:rsidP="004554A0">
            <w:pPr>
              <w:jc w:val="right"/>
            </w:pPr>
            <w:r w:rsidRPr="00C66897">
              <w:t>3.22999</w:t>
            </w:r>
            <w:r w:rsidR="009E3B0E">
              <w:t>*</w:t>
            </w:r>
          </w:p>
        </w:tc>
        <w:tc>
          <w:tcPr>
            <w:tcW w:w="1061" w:type="dxa"/>
          </w:tcPr>
          <w:p w:rsidR="00B83328" w:rsidRPr="00C66897" w:rsidRDefault="00B83328" w:rsidP="004554A0">
            <w:pPr>
              <w:jc w:val="right"/>
            </w:pPr>
            <w:r w:rsidRPr="00C66897">
              <w:t>0.00007</w:t>
            </w:r>
          </w:p>
        </w:tc>
        <w:tc>
          <w:tcPr>
            <w:tcW w:w="1214" w:type="dxa"/>
          </w:tcPr>
          <w:p w:rsidR="00B83328" w:rsidRPr="00C66897" w:rsidRDefault="00B83328" w:rsidP="004554A0">
            <w:pPr>
              <w:jc w:val="right"/>
            </w:pPr>
            <w:r w:rsidRPr="00C66897">
              <w:t>2.00</w:t>
            </w:r>
            <w:r w:rsidR="009E3B0E">
              <w:t>*</w:t>
            </w:r>
          </w:p>
        </w:tc>
        <w:tc>
          <w:tcPr>
            <w:tcW w:w="1124" w:type="dxa"/>
            <w:vAlign w:val="bottom"/>
          </w:tcPr>
          <w:p w:rsidR="00B83328" w:rsidRDefault="00B83328">
            <w:pPr>
              <w:jc w:val="right"/>
              <w:rPr>
                <w:rFonts w:ascii="Calibri" w:hAnsi="Calibri"/>
                <w:color w:val="000000"/>
              </w:rPr>
            </w:pPr>
            <w:r>
              <w:rPr>
                <w:rFonts w:ascii="Calibri" w:hAnsi="Calibri"/>
                <w:color w:val="000000"/>
              </w:rPr>
              <w:t>0.00340</w:t>
            </w:r>
          </w:p>
        </w:tc>
        <w:tc>
          <w:tcPr>
            <w:tcW w:w="1041" w:type="dxa"/>
          </w:tcPr>
          <w:p w:rsidR="00B83328" w:rsidRPr="00C66897" w:rsidRDefault="00B83328" w:rsidP="00A36603">
            <w:pPr>
              <w:jc w:val="center"/>
            </w:pPr>
            <w:r w:rsidRPr="00C66897">
              <w:t>9</w:t>
            </w:r>
          </w:p>
        </w:tc>
      </w:tr>
      <w:tr w:rsidR="00EB4052" w:rsidTr="00C84EBB">
        <w:tc>
          <w:tcPr>
            <w:tcW w:w="8991" w:type="dxa"/>
            <w:gridSpan w:val="8"/>
          </w:tcPr>
          <w:p w:rsidR="009E3B0E" w:rsidRDefault="009E3B0E" w:rsidP="00EB4052">
            <w:pPr>
              <w:rPr>
                <w:sz w:val="18"/>
                <w:szCs w:val="18"/>
              </w:rPr>
            </w:pPr>
            <w:r>
              <w:rPr>
                <w:sz w:val="18"/>
                <w:szCs w:val="18"/>
              </w:rPr>
              <w:t>*Significant at the 90 percent confidence level</w:t>
            </w:r>
          </w:p>
          <w:p w:rsidR="00EB4052" w:rsidRDefault="00EB4052" w:rsidP="00EB4052">
            <w:pPr>
              <w:rPr>
                <w:b/>
              </w:rPr>
            </w:pPr>
            <w:r>
              <w:rPr>
                <w:sz w:val="18"/>
                <w:szCs w:val="18"/>
              </w:rPr>
              <w:t>Source: 2005 and 2015 American Community Survey. For more information on the ACS, see census.gov/</w:t>
            </w:r>
            <w:proofErr w:type="spellStart"/>
            <w:r>
              <w:rPr>
                <w:sz w:val="18"/>
                <w:szCs w:val="18"/>
              </w:rPr>
              <w:t>acs</w:t>
            </w:r>
            <w:proofErr w:type="spellEnd"/>
            <w:r>
              <w:rPr>
                <w:sz w:val="18"/>
                <w:szCs w:val="18"/>
              </w:rPr>
              <w:t>.</w:t>
            </w:r>
          </w:p>
        </w:tc>
      </w:tr>
    </w:tbl>
    <w:p w:rsidR="00255D12" w:rsidRDefault="00255D12" w:rsidP="00BA2257"/>
    <w:p w:rsidR="00A36603" w:rsidRDefault="00A20374" w:rsidP="00A412B5">
      <w:pPr>
        <w:spacing w:line="360" w:lineRule="auto"/>
        <w:ind w:firstLine="720"/>
      </w:pPr>
      <w:r>
        <w:t>More interestingly, there are significant differences in the percentage changes in income inequality over time based on the measure o</w:t>
      </w:r>
      <w:r w:rsidR="00F41195">
        <w:t>f household income used (Table 4 vs. Table 5</w:t>
      </w:r>
      <w:r>
        <w:t>).</w:t>
      </w:r>
      <w:r w:rsidR="00A653EE">
        <w:t xml:space="preserve">  First, the percen</w:t>
      </w:r>
      <w:r w:rsidR="00F41195">
        <w:t>tage change over time in Table 4</w:t>
      </w:r>
      <w:r w:rsidR="00A653EE">
        <w:t xml:space="preserve"> is larger than the percentage </w:t>
      </w:r>
      <w:r w:rsidR="00D90D8E">
        <w:t xml:space="preserve">change </w:t>
      </w:r>
      <w:r w:rsidR="00F41195">
        <w:t>over time in Table 5</w:t>
      </w:r>
      <w:r w:rsidR="00A653EE">
        <w:t xml:space="preserve"> for each metric and these differences are statistically significant.  Therefore, income inequality has not increased as much over </w:t>
      </w:r>
      <w:r w:rsidR="00D90D8E">
        <w:t>time when household income</w:t>
      </w:r>
      <w:r w:rsidR="00A653EE">
        <w:t xml:space="preserve"> taxes and cash transfers </w:t>
      </w:r>
      <w:r w:rsidR="00D90D8E">
        <w:t>are accounted for</w:t>
      </w:r>
      <w:r w:rsidR="00A84358">
        <w:t xml:space="preserve"> regardless of the income inequality metric used.</w:t>
      </w:r>
    </w:p>
    <w:p w:rsidR="00A653EE" w:rsidRDefault="00AC53C5" w:rsidP="00A412B5">
      <w:pPr>
        <w:spacing w:line="360" w:lineRule="auto"/>
        <w:ind w:firstLine="720"/>
      </w:pPr>
      <w:r>
        <w:t xml:space="preserve">Second, there were some interesting changes in the non-overlapping ratios.  Their relative order changed.  The 50-10 ratio showed the largest </w:t>
      </w:r>
      <w:r w:rsidR="00F41195">
        <w:t>increase of the three in Table 4</w:t>
      </w:r>
      <w:r>
        <w:t xml:space="preserve"> while it showed the smallest </w:t>
      </w:r>
      <w:r w:rsidR="00F41195">
        <w:t>increase of the three in Table 5</w:t>
      </w:r>
      <w:r>
        <w:t xml:space="preserve">.  </w:t>
      </w:r>
      <w:r w:rsidR="00D7646A">
        <w:t>The 99-90 ratio also reversed its rank ordering, from the smallest percent increase (rank 8 in Table 4) to the largest percent increase (rank 6 in Table 5) among these three ratios.</w:t>
      </w:r>
      <w:r w:rsidR="005976FB">
        <w:t xml:space="preserve">  This tells us that government programs affected the 50-10 ratio the most and the 99-90 ratio the least of the three non-overlapping ratios.  In fact, the 50-10 ratio changed from 6</w:t>
      </w:r>
      <w:r w:rsidR="005976FB" w:rsidRPr="005976FB">
        <w:rPr>
          <w:vertAlign w:val="superscript"/>
        </w:rPr>
        <w:t>th</w:t>
      </w:r>
      <w:r w:rsidR="005976FB">
        <w:t xml:space="preserve"> in Table 3 to 9</w:t>
      </w:r>
      <w:r w:rsidR="005976FB" w:rsidRPr="005976FB">
        <w:rPr>
          <w:vertAlign w:val="superscript"/>
        </w:rPr>
        <w:t>th</w:t>
      </w:r>
      <w:r w:rsidR="00F41195">
        <w:t xml:space="preserve"> in Table 5</w:t>
      </w:r>
      <w:r w:rsidR="005976FB">
        <w:t xml:space="preserve">.  Income inequality only increased by two percent from 2005 to 2015 when measured by the 50-10 ratio and household income </w:t>
      </w:r>
      <w:r w:rsidR="00A84358">
        <w:t>accounts for taxes and transfers.</w:t>
      </w:r>
    </w:p>
    <w:p w:rsidR="001E79F6" w:rsidRDefault="00A653EE" w:rsidP="00A412B5">
      <w:pPr>
        <w:spacing w:line="360" w:lineRule="auto"/>
      </w:pPr>
      <w:r w:rsidRPr="00A653EE">
        <w:tab/>
      </w:r>
      <w:r w:rsidR="005976FB">
        <w:t>To delve further into where the changes in income inequ</w:t>
      </w:r>
      <w:r w:rsidR="00F41195">
        <w:t>ality are taking place, Tables 6 and 7</w:t>
      </w:r>
      <w:r w:rsidR="005976FB">
        <w:t xml:space="preserve"> </w:t>
      </w:r>
      <w:r w:rsidR="001E79F6">
        <w:t>display the household income shares for pre-tax, pre-transfer income and after-tax, after-transfer income respectively.</w:t>
      </w:r>
      <w:r w:rsidR="00D7646A">
        <w:t xml:space="preserve">  </w:t>
      </w:r>
      <w:r w:rsidR="00110A48" w:rsidRPr="00110A48">
        <w:t xml:space="preserve">There are two main points about </w:t>
      </w:r>
      <w:r w:rsidR="00FD25FC">
        <w:t xml:space="preserve">the quintile results in </w:t>
      </w:r>
      <w:r w:rsidR="00110A48" w:rsidRPr="00110A48">
        <w:t>these tables.  The first is that the bottom four quintiles each decreased in terms of share of income</w:t>
      </w:r>
      <w:r w:rsidR="006F20B4">
        <w:t xml:space="preserve"> from 2005 to 2015 for</w:t>
      </w:r>
      <w:r w:rsidR="00110A48">
        <w:t xml:space="preserve"> pre-</w:t>
      </w:r>
      <w:r w:rsidR="00110A48">
        <w:lastRenderedPageBreak/>
        <w:t>tax, pre-transfer income and</w:t>
      </w:r>
      <w:r w:rsidR="006F20B4">
        <w:t xml:space="preserve"> the bottom three quintiles decreased in terms of share of income from 2005 to 2015 for</w:t>
      </w:r>
      <w:r w:rsidR="00110A48">
        <w:t xml:space="preserve"> after-tax, after-transfer income.  Furthermore, the top quintile increased its share of the income from 2005 to 2015 for both types of household income. </w:t>
      </w:r>
    </w:p>
    <w:p w:rsidR="00750C12" w:rsidRDefault="006B454C" w:rsidP="00A412B5">
      <w:pPr>
        <w:spacing w:line="360" w:lineRule="auto"/>
      </w:pPr>
      <w:r>
        <w:tab/>
        <w:t>The biggest change by a significant margin occurred in the</w:t>
      </w:r>
      <w:r w:rsidR="00222DB1">
        <w:t xml:space="preserve"> first quintile for both types of income.  Therefore, the largest contributor to the observed increase in income inequality was the decrease in income share held by the bottom twenty percent of the income distribution.  For both types of income, the smallest percentage change in income share occurred for households in the fourth quintile.  While these households did lose income share over the time period, they </w:t>
      </w:r>
      <w:r w:rsidR="000721AB">
        <w:t>lost</w:t>
      </w:r>
      <w:r w:rsidR="00222DB1">
        <w:t xml:space="preserve"> significantly less </w:t>
      </w:r>
      <w:r w:rsidR="000721AB">
        <w:t xml:space="preserve">than </w:t>
      </w:r>
      <w:r w:rsidR="00222DB1">
        <w:t>households in the lowest twenty percent.</w:t>
      </w:r>
      <w:r w:rsidR="00D7646A">
        <w:t xml:space="preserve">  </w:t>
      </w:r>
      <w:r w:rsidR="00FD25FC">
        <w:t xml:space="preserve">The top one percent income share increased significantly more than the top quintile.  Gains in income by households in the top one percent of the distribution are a driving force in the top quintile </w:t>
      </w:r>
      <w:r w:rsidR="006A2249">
        <w:t>gaining income share over time.</w:t>
      </w:r>
    </w:p>
    <w:p w:rsidR="00DE3E5E" w:rsidRDefault="00DE3E5E" w:rsidP="00A412B5">
      <w:pPr>
        <w:spacing w:line="360" w:lineRule="auto"/>
      </w:pPr>
    </w:p>
    <w:tbl>
      <w:tblPr>
        <w:tblStyle w:val="TableGrid"/>
        <w:tblW w:w="0" w:type="auto"/>
        <w:jc w:val="center"/>
        <w:tblInd w:w="585" w:type="dxa"/>
        <w:tblLook w:val="04A0" w:firstRow="1" w:lastRow="0" w:firstColumn="1" w:lastColumn="0" w:noHBand="0" w:noVBand="1"/>
      </w:tblPr>
      <w:tblGrid>
        <w:gridCol w:w="1095"/>
        <w:gridCol w:w="1168"/>
        <w:gridCol w:w="1014"/>
        <w:gridCol w:w="1169"/>
        <w:gridCol w:w="1014"/>
        <w:gridCol w:w="1097"/>
        <w:gridCol w:w="1061"/>
      </w:tblGrid>
      <w:tr w:rsidR="001E79F6" w:rsidTr="001E79F6">
        <w:trPr>
          <w:jc w:val="center"/>
        </w:trPr>
        <w:tc>
          <w:tcPr>
            <w:tcW w:w="7618" w:type="dxa"/>
            <w:gridSpan w:val="7"/>
          </w:tcPr>
          <w:p w:rsidR="001E79F6" w:rsidRDefault="00F41195" w:rsidP="00C33F74">
            <w:pPr>
              <w:jc w:val="center"/>
              <w:rPr>
                <w:b/>
              </w:rPr>
            </w:pPr>
            <w:r>
              <w:rPr>
                <w:b/>
              </w:rPr>
              <w:t>Table 6</w:t>
            </w:r>
            <w:r w:rsidR="001E79F6">
              <w:rPr>
                <w:b/>
              </w:rPr>
              <w:t>: Pre-tax, p</w:t>
            </w:r>
            <w:r w:rsidR="00D467AE">
              <w:rPr>
                <w:b/>
              </w:rPr>
              <w:t xml:space="preserve">re-transfer income shares </w:t>
            </w:r>
            <w:r w:rsidR="001E79F6">
              <w:rPr>
                <w:b/>
              </w:rPr>
              <w:t>over time</w:t>
            </w:r>
          </w:p>
        </w:tc>
      </w:tr>
      <w:tr w:rsidR="001E79F6" w:rsidTr="001E79F6">
        <w:trPr>
          <w:jc w:val="center"/>
        </w:trPr>
        <w:tc>
          <w:tcPr>
            <w:tcW w:w="1095" w:type="dxa"/>
          </w:tcPr>
          <w:p w:rsidR="001E79F6" w:rsidRDefault="001E79F6" w:rsidP="001E79F6">
            <w:pPr>
              <w:jc w:val="center"/>
              <w:rPr>
                <w:b/>
              </w:rPr>
            </w:pPr>
          </w:p>
        </w:tc>
        <w:tc>
          <w:tcPr>
            <w:tcW w:w="2182" w:type="dxa"/>
            <w:gridSpan w:val="2"/>
          </w:tcPr>
          <w:p w:rsidR="001E79F6" w:rsidRPr="005661B4" w:rsidRDefault="001E79F6" w:rsidP="001E79F6">
            <w:pPr>
              <w:jc w:val="center"/>
              <w:rPr>
                <w:b/>
                <w:vertAlign w:val="superscript"/>
              </w:rPr>
            </w:pPr>
            <w:r>
              <w:rPr>
                <w:b/>
              </w:rPr>
              <w:t>2005</w:t>
            </w:r>
            <w:r w:rsidR="005661B4">
              <w:rPr>
                <w:b/>
                <w:vertAlign w:val="superscript"/>
              </w:rPr>
              <w:t>1</w:t>
            </w:r>
          </w:p>
        </w:tc>
        <w:tc>
          <w:tcPr>
            <w:tcW w:w="2183" w:type="dxa"/>
            <w:gridSpan w:val="2"/>
          </w:tcPr>
          <w:p w:rsidR="001E79F6" w:rsidRDefault="001E79F6" w:rsidP="001E79F6">
            <w:pPr>
              <w:jc w:val="center"/>
              <w:rPr>
                <w:b/>
              </w:rPr>
            </w:pPr>
            <w:r>
              <w:rPr>
                <w:b/>
              </w:rPr>
              <w:t>2015</w:t>
            </w:r>
          </w:p>
        </w:tc>
        <w:tc>
          <w:tcPr>
            <w:tcW w:w="2158" w:type="dxa"/>
            <w:gridSpan w:val="2"/>
          </w:tcPr>
          <w:p w:rsidR="001E79F6" w:rsidRDefault="001E79F6" w:rsidP="001E79F6">
            <w:pPr>
              <w:jc w:val="center"/>
              <w:rPr>
                <w:b/>
              </w:rPr>
            </w:pPr>
            <w:r>
              <w:rPr>
                <w:b/>
              </w:rPr>
              <w:t>Change in metric</w:t>
            </w:r>
          </w:p>
        </w:tc>
      </w:tr>
      <w:tr w:rsidR="001E79F6" w:rsidTr="001E79F6">
        <w:trPr>
          <w:jc w:val="center"/>
        </w:trPr>
        <w:tc>
          <w:tcPr>
            <w:tcW w:w="1095" w:type="dxa"/>
          </w:tcPr>
          <w:p w:rsidR="001E79F6" w:rsidRDefault="00110A48" w:rsidP="009D166F">
            <w:pPr>
              <w:rPr>
                <w:b/>
              </w:rPr>
            </w:pPr>
            <w:r>
              <w:rPr>
                <w:b/>
              </w:rPr>
              <w:t>Qui</w:t>
            </w:r>
            <w:r w:rsidR="001E79F6">
              <w:rPr>
                <w:b/>
              </w:rPr>
              <w:t>ntiles</w:t>
            </w:r>
          </w:p>
        </w:tc>
        <w:tc>
          <w:tcPr>
            <w:tcW w:w="1168" w:type="dxa"/>
          </w:tcPr>
          <w:p w:rsidR="001E79F6" w:rsidRDefault="001E79F6" w:rsidP="001E79F6">
            <w:pPr>
              <w:jc w:val="center"/>
              <w:rPr>
                <w:b/>
              </w:rPr>
            </w:pPr>
            <w:r>
              <w:rPr>
                <w:b/>
              </w:rPr>
              <w:t>Est</w:t>
            </w:r>
          </w:p>
        </w:tc>
        <w:tc>
          <w:tcPr>
            <w:tcW w:w="1014" w:type="dxa"/>
          </w:tcPr>
          <w:p w:rsidR="001E79F6" w:rsidRDefault="009D2D59" w:rsidP="001E79F6">
            <w:pPr>
              <w:jc w:val="center"/>
              <w:rPr>
                <w:b/>
              </w:rPr>
            </w:pPr>
            <w:r>
              <w:rPr>
                <w:b/>
              </w:rPr>
              <w:t>Std. Err</w:t>
            </w:r>
          </w:p>
        </w:tc>
        <w:tc>
          <w:tcPr>
            <w:tcW w:w="1169" w:type="dxa"/>
          </w:tcPr>
          <w:p w:rsidR="001E79F6" w:rsidRDefault="001E79F6" w:rsidP="001E79F6">
            <w:pPr>
              <w:jc w:val="center"/>
              <w:rPr>
                <w:b/>
              </w:rPr>
            </w:pPr>
            <w:proofErr w:type="spellStart"/>
            <w:r>
              <w:rPr>
                <w:b/>
              </w:rPr>
              <w:t>est</w:t>
            </w:r>
            <w:proofErr w:type="spellEnd"/>
          </w:p>
        </w:tc>
        <w:tc>
          <w:tcPr>
            <w:tcW w:w="1014" w:type="dxa"/>
          </w:tcPr>
          <w:p w:rsidR="001E79F6" w:rsidRDefault="009D2D59" w:rsidP="001E79F6">
            <w:pPr>
              <w:jc w:val="center"/>
              <w:rPr>
                <w:b/>
              </w:rPr>
            </w:pPr>
            <w:r>
              <w:rPr>
                <w:b/>
              </w:rPr>
              <w:t>Std. Err</w:t>
            </w:r>
          </w:p>
        </w:tc>
        <w:tc>
          <w:tcPr>
            <w:tcW w:w="1097" w:type="dxa"/>
          </w:tcPr>
          <w:p w:rsidR="001E79F6" w:rsidRDefault="001E79F6" w:rsidP="001E79F6">
            <w:pPr>
              <w:jc w:val="center"/>
              <w:rPr>
                <w:b/>
              </w:rPr>
            </w:pPr>
            <w:r>
              <w:rPr>
                <w:b/>
              </w:rPr>
              <w:t>Percent</w:t>
            </w:r>
          </w:p>
        </w:tc>
        <w:tc>
          <w:tcPr>
            <w:tcW w:w="1061" w:type="dxa"/>
          </w:tcPr>
          <w:p w:rsidR="001E79F6" w:rsidRDefault="009D2D59" w:rsidP="001E79F6">
            <w:pPr>
              <w:jc w:val="center"/>
              <w:rPr>
                <w:b/>
              </w:rPr>
            </w:pPr>
            <w:r>
              <w:rPr>
                <w:b/>
              </w:rPr>
              <w:t>Std. Err</w:t>
            </w:r>
          </w:p>
        </w:tc>
      </w:tr>
      <w:tr w:rsidR="00DB58A4" w:rsidTr="00DB58A4">
        <w:trPr>
          <w:jc w:val="center"/>
        </w:trPr>
        <w:tc>
          <w:tcPr>
            <w:tcW w:w="1095" w:type="dxa"/>
          </w:tcPr>
          <w:p w:rsidR="00DB58A4" w:rsidRDefault="00DB58A4" w:rsidP="009D166F">
            <w:pPr>
              <w:rPr>
                <w:b/>
              </w:rPr>
            </w:pPr>
            <w:r>
              <w:rPr>
                <w:b/>
              </w:rPr>
              <w:t xml:space="preserve">   First</w:t>
            </w:r>
          </w:p>
        </w:tc>
        <w:tc>
          <w:tcPr>
            <w:tcW w:w="1168" w:type="dxa"/>
          </w:tcPr>
          <w:p w:rsidR="00DB58A4" w:rsidRPr="00110A48" w:rsidRDefault="00DB58A4" w:rsidP="001E79F6">
            <w:pPr>
              <w:jc w:val="right"/>
            </w:pPr>
            <w:r w:rsidRPr="00110A48">
              <w:t>0.03043</w:t>
            </w:r>
            <w:r w:rsidR="006A2249">
              <w:t>*</w:t>
            </w:r>
          </w:p>
        </w:tc>
        <w:tc>
          <w:tcPr>
            <w:tcW w:w="1014" w:type="dxa"/>
          </w:tcPr>
          <w:p w:rsidR="00DB58A4" w:rsidRPr="00110A48" w:rsidRDefault="00DB58A4" w:rsidP="001E79F6">
            <w:pPr>
              <w:jc w:val="right"/>
            </w:pPr>
            <w:r w:rsidRPr="00110A48">
              <w:t>0.00009</w:t>
            </w:r>
          </w:p>
        </w:tc>
        <w:tc>
          <w:tcPr>
            <w:tcW w:w="1169" w:type="dxa"/>
          </w:tcPr>
          <w:p w:rsidR="00DB58A4" w:rsidRPr="00110A48" w:rsidRDefault="00DB58A4" w:rsidP="001E79F6">
            <w:pPr>
              <w:jc w:val="right"/>
            </w:pPr>
            <w:r w:rsidRPr="00110A48">
              <w:t>0.02718</w:t>
            </w:r>
            <w:r w:rsidR="006A2249">
              <w:t>*</w:t>
            </w:r>
          </w:p>
        </w:tc>
        <w:tc>
          <w:tcPr>
            <w:tcW w:w="1014" w:type="dxa"/>
          </w:tcPr>
          <w:p w:rsidR="00DB58A4" w:rsidRPr="00110A48" w:rsidRDefault="00DB58A4" w:rsidP="001E79F6">
            <w:pPr>
              <w:jc w:val="right"/>
            </w:pPr>
            <w:r w:rsidRPr="00110A48">
              <w:t>0.00007</w:t>
            </w:r>
          </w:p>
        </w:tc>
        <w:tc>
          <w:tcPr>
            <w:tcW w:w="1097" w:type="dxa"/>
          </w:tcPr>
          <w:p w:rsidR="00DB58A4" w:rsidRPr="00110A48" w:rsidRDefault="00DB58A4" w:rsidP="001E79F6">
            <w:pPr>
              <w:jc w:val="right"/>
            </w:pPr>
            <w:r w:rsidRPr="00110A48">
              <w:t>-10.68</w:t>
            </w:r>
            <w:r w:rsidR="006A2249">
              <w:t>*</w:t>
            </w:r>
          </w:p>
        </w:tc>
        <w:tc>
          <w:tcPr>
            <w:tcW w:w="1061" w:type="dxa"/>
            <w:vAlign w:val="bottom"/>
          </w:tcPr>
          <w:p w:rsidR="00DB58A4" w:rsidRDefault="00DB58A4">
            <w:pPr>
              <w:jc w:val="right"/>
              <w:rPr>
                <w:rFonts w:ascii="Calibri" w:hAnsi="Calibri"/>
                <w:color w:val="000000"/>
              </w:rPr>
            </w:pPr>
            <w:r>
              <w:rPr>
                <w:rFonts w:ascii="Calibri" w:hAnsi="Calibri"/>
                <w:color w:val="000000"/>
              </w:rPr>
              <w:t>0.35029</w:t>
            </w:r>
          </w:p>
        </w:tc>
      </w:tr>
      <w:tr w:rsidR="00DB58A4" w:rsidTr="00DB58A4">
        <w:trPr>
          <w:jc w:val="center"/>
        </w:trPr>
        <w:tc>
          <w:tcPr>
            <w:tcW w:w="1095" w:type="dxa"/>
          </w:tcPr>
          <w:p w:rsidR="00DB58A4" w:rsidRDefault="00DB58A4" w:rsidP="009D166F">
            <w:pPr>
              <w:rPr>
                <w:b/>
              </w:rPr>
            </w:pPr>
            <w:r>
              <w:rPr>
                <w:b/>
              </w:rPr>
              <w:t xml:space="preserve">   Second</w:t>
            </w:r>
          </w:p>
        </w:tc>
        <w:tc>
          <w:tcPr>
            <w:tcW w:w="1168" w:type="dxa"/>
          </w:tcPr>
          <w:p w:rsidR="00DB58A4" w:rsidRPr="00110A48" w:rsidRDefault="00DB58A4" w:rsidP="001E79F6">
            <w:pPr>
              <w:jc w:val="right"/>
            </w:pPr>
            <w:r w:rsidRPr="00110A48">
              <w:t>0.09016</w:t>
            </w:r>
            <w:r w:rsidR="006A2249">
              <w:t>*</w:t>
            </w:r>
          </w:p>
        </w:tc>
        <w:tc>
          <w:tcPr>
            <w:tcW w:w="1014" w:type="dxa"/>
          </w:tcPr>
          <w:p w:rsidR="00DB58A4" w:rsidRPr="00110A48" w:rsidRDefault="00DB58A4" w:rsidP="001E79F6">
            <w:pPr>
              <w:jc w:val="right"/>
            </w:pPr>
            <w:r w:rsidRPr="00110A48">
              <w:t>0.00026</w:t>
            </w:r>
          </w:p>
        </w:tc>
        <w:tc>
          <w:tcPr>
            <w:tcW w:w="1169" w:type="dxa"/>
          </w:tcPr>
          <w:p w:rsidR="00DB58A4" w:rsidRPr="00110A48" w:rsidRDefault="00DB58A4" w:rsidP="001E79F6">
            <w:pPr>
              <w:jc w:val="right"/>
            </w:pPr>
            <w:r w:rsidRPr="00110A48">
              <w:t>0.08400</w:t>
            </w:r>
            <w:r w:rsidR="006A2249">
              <w:t>*</w:t>
            </w:r>
          </w:p>
        </w:tc>
        <w:tc>
          <w:tcPr>
            <w:tcW w:w="1014" w:type="dxa"/>
          </w:tcPr>
          <w:p w:rsidR="00DB58A4" w:rsidRPr="00110A48" w:rsidRDefault="00DB58A4" w:rsidP="001E79F6">
            <w:pPr>
              <w:jc w:val="right"/>
            </w:pPr>
            <w:r w:rsidRPr="00110A48">
              <w:t>0.00020</w:t>
            </w:r>
          </w:p>
        </w:tc>
        <w:tc>
          <w:tcPr>
            <w:tcW w:w="1097" w:type="dxa"/>
          </w:tcPr>
          <w:p w:rsidR="00DB58A4" w:rsidRPr="00110A48" w:rsidRDefault="00DB58A4" w:rsidP="001E79F6">
            <w:pPr>
              <w:jc w:val="right"/>
            </w:pPr>
            <w:r w:rsidRPr="00110A48">
              <w:t>-6.83</w:t>
            </w:r>
            <w:r w:rsidR="006A2249">
              <w:t>*</w:t>
            </w:r>
          </w:p>
        </w:tc>
        <w:tc>
          <w:tcPr>
            <w:tcW w:w="1061" w:type="dxa"/>
            <w:vAlign w:val="bottom"/>
          </w:tcPr>
          <w:p w:rsidR="00DB58A4" w:rsidRDefault="00DB58A4">
            <w:pPr>
              <w:jc w:val="right"/>
              <w:rPr>
                <w:rFonts w:ascii="Calibri" w:hAnsi="Calibri"/>
                <w:color w:val="000000"/>
              </w:rPr>
            </w:pPr>
            <w:r>
              <w:rPr>
                <w:rFonts w:ascii="Calibri" w:hAnsi="Calibri"/>
                <w:color w:val="000000"/>
              </w:rPr>
              <w:t>0.34842</w:t>
            </w:r>
          </w:p>
        </w:tc>
      </w:tr>
      <w:tr w:rsidR="00DB58A4" w:rsidTr="00DB58A4">
        <w:trPr>
          <w:jc w:val="center"/>
        </w:trPr>
        <w:tc>
          <w:tcPr>
            <w:tcW w:w="1095" w:type="dxa"/>
          </w:tcPr>
          <w:p w:rsidR="00DB58A4" w:rsidRDefault="00DB58A4" w:rsidP="009D166F">
            <w:pPr>
              <w:rPr>
                <w:b/>
              </w:rPr>
            </w:pPr>
            <w:r>
              <w:rPr>
                <w:b/>
              </w:rPr>
              <w:t xml:space="preserve">   Third</w:t>
            </w:r>
          </w:p>
        </w:tc>
        <w:tc>
          <w:tcPr>
            <w:tcW w:w="1168" w:type="dxa"/>
          </w:tcPr>
          <w:p w:rsidR="00DB58A4" w:rsidRPr="00110A48" w:rsidRDefault="00DB58A4" w:rsidP="001E79F6">
            <w:pPr>
              <w:jc w:val="right"/>
            </w:pPr>
            <w:r w:rsidRPr="00110A48">
              <w:t>0.15126</w:t>
            </w:r>
            <w:r w:rsidR="006A2249">
              <w:t>*</w:t>
            </w:r>
          </w:p>
        </w:tc>
        <w:tc>
          <w:tcPr>
            <w:tcW w:w="1014" w:type="dxa"/>
          </w:tcPr>
          <w:p w:rsidR="00DB58A4" w:rsidRPr="00110A48" w:rsidRDefault="00DB58A4" w:rsidP="001E79F6">
            <w:pPr>
              <w:jc w:val="right"/>
            </w:pPr>
            <w:r w:rsidRPr="00110A48">
              <w:t>0.00039</w:t>
            </w:r>
          </w:p>
        </w:tc>
        <w:tc>
          <w:tcPr>
            <w:tcW w:w="1169" w:type="dxa"/>
          </w:tcPr>
          <w:p w:rsidR="00DB58A4" w:rsidRPr="00110A48" w:rsidRDefault="00DB58A4" w:rsidP="001E79F6">
            <w:pPr>
              <w:jc w:val="right"/>
            </w:pPr>
            <w:r w:rsidRPr="00110A48">
              <w:t>0.14513</w:t>
            </w:r>
            <w:r w:rsidR="006A2249">
              <w:t>*</w:t>
            </w:r>
          </w:p>
        </w:tc>
        <w:tc>
          <w:tcPr>
            <w:tcW w:w="1014" w:type="dxa"/>
          </w:tcPr>
          <w:p w:rsidR="00DB58A4" w:rsidRPr="00110A48" w:rsidRDefault="00DB58A4" w:rsidP="001E79F6">
            <w:pPr>
              <w:jc w:val="right"/>
            </w:pPr>
            <w:r w:rsidRPr="00110A48">
              <w:t>0.00035</w:t>
            </w:r>
          </w:p>
        </w:tc>
        <w:tc>
          <w:tcPr>
            <w:tcW w:w="1097" w:type="dxa"/>
          </w:tcPr>
          <w:p w:rsidR="00DB58A4" w:rsidRPr="00110A48" w:rsidRDefault="00DB58A4" w:rsidP="001E79F6">
            <w:pPr>
              <w:jc w:val="right"/>
            </w:pPr>
            <w:r w:rsidRPr="00110A48">
              <w:t>-4.05</w:t>
            </w:r>
            <w:r w:rsidR="006A2249">
              <w:t>*</w:t>
            </w:r>
          </w:p>
        </w:tc>
        <w:tc>
          <w:tcPr>
            <w:tcW w:w="1061" w:type="dxa"/>
            <w:vAlign w:val="bottom"/>
          </w:tcPr>
          <w:p w:rsidR="00DB58A4" w:rsidRDefault="00DB58A4">
            <w:pPr>
              <w:jc w:val="right"/>
              <w:rPr>
                <w:rFonts w:ascii="Calibri" w:hAnsi="Calibri"/>
                <w:color w:val="000000"/>
              </w:rPr>
            </w:pPr>
            <w:r>
              <w:rPr>
                <w:rFonts w:ascii="Calibri" w:hAnsi="Calibri"/>
                <w:color w:val="000000"/>
              </w:rPr>
              <w:t>0.33873</w:t>
            </w:r>
          </w:p>
        </w:tc>
      </w:tr>
      <w:tr w:rsidR="00DB58A4" w:rsidTr="00DB58A4">
        <w:trPr>
          <w:jc w:val="center"/>
        </w:trPr>
        <w:tc>
          <w:tcPr>
            <w:tcW w:w="1095" w:type="dxa"/>
          </w:tcPr>
          <w:p w:rsidR="00DB58A4" w:rsidRDefault="00DB58A4" w:rsidP="009D166F">
            <w:pPr>
              <w:rPr>
                <w:b/>
              </w:rPr>
            </w:pPr>
            <w:r>
              <w:rPr>
                <w:b/>
              </w:rPr>
              <w:t xml:space="preserve">   Fourth</w:t>
            </w:r>
          </w:p>
        </w:tc>
        <w:tc>
          <w:tcPr>
            <w:tcW w:w="1168" w:type="dxa"/>
          </w:tcPr>
          <w:p w:rsidR="00DB58A4" w:rsidRPr="00110A48" w:rsidRDefault="00DB58A4" w:rsidP="001E79F6">
            <w:pPr>
              <w:jc w:val="right"/>
            </w:pPr>
            <w:r w:rsidRPr="00110A48">
              <w:t>0.22957</w:t>
            </w:r>
            <w:r w:rsidR="006A2249">
              <w:t>*</w:t>
            </w:r>
          </w:p>
        </w:tc>
        <w:tc>
          <w:tcPr>
            <w:tcW w:w="1014" w:type="dxa"/>
          </w:tcPr>
          <w:p w:rsidR="00DB58A4" w:rsidRPr="00110A48" w:rsidRDefault="00DB58A4" w:rsidP="001E79F6">
            <w:pPr>
              <w:jc w:val="right"/>
            </w:pPr>
            <w:r w:rsidRPr="00110A48">
              <w:t>0.00061</w:t>
            </w:r>
          </w:p>
        </w:tc>
        <w:tc>
          <w:tcPr>
            <w:tcW w:w="1169" w:type="dxa"/>
          </w:tcPr>
          <w:p w:rsidR="00DB58A4" w:rsidRPr="00110A48" w:rsidRDefault="00DB58A4" w:rsidP="001E79F6">
            <w:pPr>
              <w:jc w:val="right"/>
            </w:pPr>
            <w:r w:rsidRPr="00110A48">
              <w:t>0.22659</w:t>
            </w:r>
            <w:r w:rsidR="006A2249">
              <w:t>*</w:t>
            </w:r>
          </w:p>
        </w:tc>
        <w:tc>
          <w:tcPr>
            <w:tcW w:w="1014" w:type="dxa"/>
          </w:tcPr>
          <w:p w:rsidR="00DB58A4" w:rsidRPr="00110A48" w:rsidRDefault="00DB58A4" w:rsidP="001E79F6">
            <w:pPr>
              <w:jc w:val="right"/>
            </w:pPr>
            <w:r w:rsidRPr="00110A48">
              <w:t>0.00057</w:t>
            </w:r>
          </w:p>
        </w:tc>
        <w:tc>
          <w:tcPr>
            <w:tcW w:w="1097" w:type="dxa"/>
          </w:tcPr>
          <w:p w:rsidR="00DB58A4" w:rsidRPr="00110A48" w:rsidRDefault="00DB58A4" w:rsidP="001E79F6">
            <w:pPr>
              <w:jc w:val="right"/>
            </w:pPr>
            <w:r w:rsidRPr="00110A48">
              <w:t>-1.30</w:t>
            </w:r>
            <w:r w:rsidR="006A2249">
              <w:t>*</w:t>
            </w:r>
          </w:p>
        </w:tc>
        <w:tc>
          <w:tcPr>
            <w:tcW w:w="1061" w:type="dxa"/>
            <w:vAlign w:val="bottom"/>
          </w:tcPr>
          <w:p w:rsidR="00DB58A4" w:rsidRDefault="00DB58A4">
            <w:pPr>
              <w:jc w:val="right"/>
              <w:rPr>
                <w:rFonts w:ascii="Calibri" w:hAnsi="Calibri"/>
                <w:color w:val="000000"/>
              </w:rPr>
            </w:pPr>
            <w:r>
              <w:rPr>
                <w:rFonts w:ascii="Calibri" w:hAnsi="Calibri"/>
                <w:color w:val="000000"/>
              </w:rPr>
              <w:t>0.36115</w:t>
            </w:r>
          </w:p>
        </w:tc>
      </w:tr>
      <w:tr w:rsidR="00DB58A4" w:rsidTr="00DB58A4">
        <w:trPr>
          <w:trHeight w:val="332"/>
          <w:jc w:val="center"/>
        </w:trPr>
        <w:tc>
          <w:tcPr>
            <w:tcW w:w="1095" w:type="dxa"/>
          </w:tcPr>
          <w:p w:rsidR="00DB58A4" w:rsidRDefault="00DB58A4" w:rsidP="009D166F">
            <w:pPr>
              <w:rPr>
                <w:b/>
              </w:rPr>
            </w:pPr>
            <w:r>
              <w:rPr>
                <w:b/>
              </w:rPr>
              <w:t xml:space="preserve">   Fifth</w:t>
            </w:r>
          </w:p>
        </w:tc>
        <w:tc>
          <w:tcPr>
            <w:tcW w:w="1168" w:type="dxa"/>
          </w:tcPr>
          <w:p w:rsidR="00DB58A4" w:rsidRPr="00110A48" w:rsidRDefault="00DB58A4" w:rsidP="001E79F6">
            <w:pPr>
              <w:jc w:val="right"/>
            </w:pPr>
            <w:r w:rsidRPr="00110A48">
              <w:t>0.49857</w:t>
            </w:r>
            <w:r w:rsidR="006A2249">
              <w:t>*</w:t>
            </w:r>
          </w:p>
        </w:tc>
        <w:tc>
          <w:tcPr>
            <w:tcW w:w="1014" w:type="dxa"/>
          </w:tcPr>
          <w:p w:rsidR="00DB58A4" w:rsidRPr="00110A48" w:rsidRDefault="00DB58A4" w:rsidP="001E79F6">
            <w:pPr>
              <w:jc w:val="right"/>
            </w:pPr>
            <w:r w:rsidRPr="00110A48">
              <w:t>0.00179</w:t>
            </w:r>
          </w:p>
        </w:tc>
        <w:tc>
          <w:tcPr>
            <w:tcW w:w="1169" w:type="dxa"/>
          </w:tcPr>
          <w:p w:rsidR="00DB58A4" w:rsidRPr="00110A48" w:rsidRDefault="00DB58A4" w:rsidP="001E79F6">
            <w:pPr>
              <w:jc w:val="right"/>
            </w:pPr>
            <w:r w:rsidRPr="00110A48">
              <w:t>0.51711</w:t>
            </w:r>
            <w:r w:rsidR="006A2249">
              <w:t>*</w:t>
            </w:r>
          </w:p>
        </w:tc>
        <w:tc>
          <w:tcPr>
            <w:tcW w:w="1014" w:type="dxa"/>
          </w:tcPr>
          <w:p w:rsidR="00DB58A4" w:rsidRPr="00110A48" w:rsidRDefault="00DB58A4" w:rsidP="001E79F6">
            <w:pPr>
              <w:jc w:val="right"/>
            </w:pPr>
            <w:r w:rsidRPr="00110A48">
              <w:t>0.00146</w:t>
            </w:r>
          </w:p>
        </w:tc>
        <w:tc>
          <w:tcPr>
            <w:tcW w:w="1097" w:type="dxa"/>
          </w:tcPr>
          <w:p w:rsidR="00DB58A4" w:rsidRPr="00110A48" w:rsidRDefault="00DB58A4" w:rsidP="001E79F6">
            <w:pPr>
              <w:jc w:val="right"/>
            </w:pPr>
            <w:r w:rsidRPr="00110A48">
              <w:t>3.72</w:t>
            </w:r>
            <w:r w:rsidR="006A2249">
              <w:t>*</w:t>
            </w:r>
          </w:p>
        </w:tc>
        <w:tc>
          <w:tcPr>
            <w:tcW w:w="1061" w:type="dxa"/>
            <w:vAlign w:val="bottom"/>
          </w:tcPr>
          <w:p w:rsidR="00DB58A4" w:rsidRDefault="00DB58A4">
            <w:pPr>
              <w:jc w:val="right"/>
              <w:rPr>
                <w:rFonts w:ascii="Calibri" w:hAnsi="Calibri"/>
                <w:color w:val="000000"/>
              </w:rPr>
            </w:pPr>
            <w:r>
              <w:rPr>
                <w:rFonts w:ascii="Calibri" w:hAnsi="Calibri"/>
                <w:color w:val="000000"/>
              </w:rPr>
              <w:t>0.47373</w:t>
            </w:r>
          </w:p>
        </w:tc>
      </w:tr>
      <w:tr w:rsidR="00DB58A4" w:rsidTr="00DB58A4">
        <w:trPr>
          <w:trHeight w:val="332"/>
          <w:jc w:val="center"/>
        </w:trPr>
        <w:tc>
          <w:tcPr>
            <w:tcW w:w="1095" w:type="dxa"/>
          </w:tcPr>
          <w:p w:rsidR="00DB58A4" w:rsidRDefault="00DB58A4" w:rsidP="009D166F">
            <w:pPr>
              <w:rPr>
                <w:b/>
              </w:rPr>
            </w:pPr>
            <w:r>
              <w:rPr>
                <w:b/>
              </w:rPr>
              <w:t>Top 1%</w:t>
            </w:r>
          </w:p>
        </w:tc>
        <w:tc>
          <w:tcPr>
            <w:tcW w:w="1168" w:type="dxa"/>
          </w:tcPr>
          <w:p w:rsidR="00DB58A4" w:rsidRPr="00110A48" w:rsidRDefault="00DB58A4" w:rsidP="001E79F6">
            <w:pPr>
              <w:jc w:val="right"/>
            </w:pPr>
            <w:r>
              <w:t>0.08759</w:t>
            </w:r>
            <w:r w:rsidR="006A2249">
              <w:t>*</w:t>
            </w:r>
          </w:p>
        </w:tc>
        <w:tc>
          <w:tcPr>
            <w:tcW w:w="1014" w:type="dxa"/>
          </w:tcPr>
          <w:p w:rsidR="00DB58A4" w:rsidRPr="00110A48" w:rsidRDefault="00DB58A4" w:rsidP="001E79F6">
            <w:pPr>
              <w:jc w:val="right"/>
            </w:pPr>
            <w:r>
              <w:t>0.00113</w:t>
            </w:r>
          </w:p>
        </w:tc>
        <w:tc>
          <w:tcPr>
            <w:tcW w:w="1169" w:type="dxa"/>
          </w:tcPr>
          <w:p w:rsidR="00DB58A4" w:rsidRPr="00110A48" w:rsidRDefault="00DB58A4" w:rsidP="001E79F6">
            <w:pPr>
              <w:jc w:val="right"/>
            </w:pPr>
            <w:r>
              <w:t>0.09633</w:t>
            </w:r>
            <w:r w:rsidR="006A2249">
              <w:t>*</w:t>
            </w:r>
          </w:p>
        </w:tc>
        <w:tc>
          <w:tcPr>
            <w:tcW w:w="1014" w:type="dxa"/>
          </w:tcPr>
          <w:p w:rsidR="00DB58A4" w:rsidRPr="00110A48" w:rsidRDefault="00DB58A4" w:rsidP="001E79F6">
            <w:pPr>
              <w:jc w:val="right"/>
            </w:pPr>
            <w:r>
              <w:t>0.00097</w:t>
            </w:r>
          </w:p>
        </w:tc>
        <w:tc>
          <w:tcPr>
            <w:tcW w:w="1097" w:type="dxa"/>
          </w:tcPr>
          <w:p w:rsidR="00DB58A4" w:rsidRPr="00110A48" w:rsidRDefault="00DB58A4" w:rsidP="001E79F6">
            <w:pPr>
              <w:jc w:val="right"/>
            </w:pPr>
            <w:r>
              <w:t>9.98</w:t>
            </w:r>
            <w:r w:rsidR="006A2249">
              <w:t>*</w:t>
            </w:r>
          </w:p>
        </w:tc>
        <w:tc>
          <w:tcPr>
            <w:tcW w:w="1061" w:type="dxa"/>
            <w:vAlign w:val="bottom"/>
          </w:tcPr>
          <w:p w:rsidR="00DB58A4" w:rsidRDefault="00DB58A4">
            <w:pPr>
              <w:jc w:val="right"/>
              <w:rPr>
                <w:rFonts w:ascii="Calibri" w:hAnsi="Calibri"/>
                <w:color w:val="000000"/>
              </w:rPr>
            </w:pPr>
            <w:r>
              <w:rPr>
                <w:rFonts w:ascii="Calibri" w:hAnsi="Calibri"/>
                <w:color w:val="000000"/>
              </w:rPr>
              <w:t>1.79986</w:t>
            </w:r>
          </w:p>
        </w:tc>
      </w:tr>
      <w:tr w:rsidR="00110A48" w:rsidTr="00110A48">
        <w:trPr>
          <w:trHeight w:val="332"/>
          <w:jc w:val="center"/>
        </w:trPr>
        <w:tc>
          <w:tcPr>
            <w:tcW w:w="7618" w:type="dxa"/>
            <w:gridSpan w:val="7"/>
          </w:tcPr>
          <w:p w:rsidR="006A2249" w:rsidRDefault="006A2249" w:rsidP="00110A48">
            <w:pPr>
              <w:rPr>
                <w:sz w:val="18"/>
                <w:szCs w:val="18"/>
              </w:rPr>
            </w:pPr>
            <w:r>
              <w:rPr>
                <w:sz w:val="18"/>
                <w:szCs w:val="18"/>
              </w:rPr>
              <w:t>*Significant at the 90 percent confidence level</w:t>
            </w:r>
          </w:p>
          <w:p w:rsidR="005661B4" w:rsidRPr="005661B4" w:rsidRDefault="00110A48" w:rsidP="00110A48">
            <w:pPr>
              <w:rPr>
                <w:sz w:val="18"/>
                <w:szCs w:val="18"/>
              </w:rPr>
            </w:pPr>
            <w:r>
              <w:rPr>
                <w:sz w:val="18"/>
                <w:szCs w:val="18"/>
              </w:rPr>
              <w:t>Source: 2005 and 2015 American Community Survey. For more information on the ACS, see census.gov/</w:t>
            </w:r>
            <w:proofErr w:type="spellStart"/>
            <w:r>
              <w:rPr>
                <w:sz w:val="18"/>
                <w:szCs w:val="18"/>
              </w:rPr>
              <w:t>acs</w:t>
            </w:r>
            <w:proofErr w:type="spellEnd"/>
            <w:r>
              <w:rPr>
                <w:sz w:val="18"/>
                <w:szCs w:val="18"/>
              </w:rPr>
              <w:t>.</w:t>
            </w:r>
          </w:p>
        </w:tc>
      </w:tr>
    </w:tbl>
    <w:p w:rsidR="001473D0" w:rsidRDefault="001473D0" w:rsidP="00BA2257">
      <w:pPr>
        <w:rPr>
          <w:b/>
        </w:rPr>
      </w:pPr>
    </w:p>
    <w:p w:rsidR="00B83328" w:rsidRDefault="00110A48" w:rsidP="00CF704E">
      <w:pPr>
        <w:spacing w:line="360" w:lineRule="auto"/>
      </w:pPr>
      <w:r>
        <w:rPr>
          <w:b/>
        </w:rPr>
        <w:tab/>
      </w:r>
      <w:r w:rsidRPr="00110A48">
        <w:t>The second point</w:t>
      </w:r>
      <w:r w:rsidR="00A412B5">
        <w:t xml:space="preserve"> is that the changes in the </w:t>
      </w:r>
      <w:r w:rsidR="00C95914">
        <w:t>income shares for each quintile</w:t>
      </w:r>
      <w:r w:rsidR="00A412B5">
        <w:t xml:space="preserve"> are larger in percentage terms </w:t>
      </w:r>
      <w:r w:rsidR="00C21B16">
        <w:t xml:space="preserve">for the first three quintiles </w:t>
      </w:r>
      <w:r w:rsidR="00A412B5">
        <w:t xml:space="preserve">in Table </w:t>
      </w:r>
      <w:r w:rsidR="00F41195">
        <w:t>6 compared to Table 7</w:t>
      </w:r>
      <w:r w:rsidR="00A412B5">
        <w:t>.</w:t>
      </w:r>
      <w:r w:rsidR="001746E2">
        <w:t xml:space="preserve">  </w:t>
      </w:r>
      <w:r w:rsidR="00716C0D">
        <w:t>The biggest difference was in the first quintile.  Government programs helped households in the bottom twenty percent of the inc</w:t>
      </w:r>
      <w:r w:rsidR="00C21B16">
        <w:t xml:space="preserve">ome distribution the most.  There were no significant differences in the </w:t>
      </w:r>
      <w:r w:rsidR="00716C0D">
        <w:t xml:space="preserve">fourth and fifth quintiles.  These households are not the beneficiaries of most cash transfer payments or the progressive tax system. </w:t>
      </w:r>
    </w:p>
    <w:p w:rsidR="00DE3E5E" w:rsidRDefault="00DE3E5E" w:rsidP="00CF704E">
      <w:pPr>
        <w:spacing w:line="360" w:lineRule="auto"/>
      </w:pPr>
    </w:p>
    <w:p w:rsidR="00B83328" w:rsidRDefault="00B83328" w:rsidP="00CF704E">
      <w:pPr>
        <w:spacing w:line="360" w:lineRule="auto"/>
      </w:pPr>
    </w:p>
    <w:tbl>
      <w:tblPr>
        <w:tblStyle w:val="TableGrid"/>
        <w:tblW w:w="0" w:type="auto"/>
        <w:jc w:val="center"/>
        <w:tblInd w:w="585" w:type="dxa"/>
        <w:tblLook w:val="04A0" w:firstRow="1" w:lastRow="0" w:firstColumn="1" w:lastColumn="0" w:noHBand="0" w:noVBand="1"/>
      </w:tblPr>
      <w:tblGrid>
        <w:gridCol w:w="1095"/>
        <w:gridCol w:w="1168"/>
        <w:gridCol w:w="1014"/>
        <w:gridCol w:w="1169"/>
        <w:gridCol w:w="1014"/>
        <w:gridCol w:w="1097"/>
        <w:gridCol w:w="1061"/>
      </w:tblGrid>
      <w:tr w:rsidR="00CC766A" w:rsidTr="0092342F">
        <w:trPr>
          <w:jc w:val="center"/>
        </w:trPr>
        <w:tc>
          <w:tcPr>
            <w:tcW w:w="7618" w:type="dxa"/>
            <w:gridSpan w:val="7"/>
          </w:tcPr>
          <w:p w:rsidR="00CC766A" w:rsidRDefault="00A555A2" w:rsidP="00C33F74">
            <w:pPr>
              <w:jc w:val="center"/>
              <w:rPr>
                <w:b/>
              </w:rPr>
            </w:pPr>
            <w:r>
              <w:lastRenderedPageBreak/>
              <w:tab/>
            </w:r>
            <w:r w:rsidR="00F41195">
              <w:rPr>
                <w:b/>
              </w:rPr>
              <w:t>Table 7</w:t>
            </w:r>
            <w:r w:rsidR="00CC766A">
              <w:rPr>
                <w:b/>
              </w:rPr>
              <w:t>: After-tax, aft</w:t>
            </w:r>
            <w:r w:rsidR="00D467AE">
              <w:rPr>
                <w:b/>
              </w:rPr>
              <w:t xml:space="preserve">er-transfer income shares </w:t>
            </w:r>
            <w:r w:rsidR="00CC766A">
              <w:rPr>
                <w:b/>
              </w:rPr>
              <w:t>over time</w:t>
            </w:r>
          </w:p>
        </w:tc>
      </w:tr>
      <w:tr w:rsidR="00CC766A" w:rsidTr="0092342F">
        <w:trPr>
          <w:jc w:val="center"/>
        </w:trPr>
        <w:tc>
          <w:tcPr>
            <w:tcW w:w="1095" w:type="dxa"/>
          </w:tcPr>
          <w:p w:rsidR="00CC766A" w:rsidRDefault="00CC766A" w:rsidP="004800B9">
            <w:pPr>
              <w:jc w:val="center"/>
              <w:rPr>
                <w:b/>
              </w:rPr>
            </w:pPr>
          </w:p>
        </w:tc>
        <w:tc>
          <w:tcPr>
            <w:tcW w:w="2182" w:type="dxa"/>
            <w:gridSpan w:val="2"/>
          </w:tcPr>
          <w:p w:rsidR="00CC766A" w:rsidRDefault="00CC766A" w:rsidP="004800B9">
            <w:pPr>
              <w:jc w:val="center"/>
              <w:rPr>
                <w:b/>
              </w:rPr>
            </w:pPr>
            <w:r>
              <w:rPr>
                <w:b/>
              </w:rPr>
              <w:t>2005</w:t>
            </w:r>
          </w:p>
        </w:tc>
        <w:tc>
          <w:tcPr>
            <w:tcW w:w="2183" w:type="dxa"/>
            <w:gridSpan w:val="2"/>
          </w:tcPr>
          <w:p w:rsidR="00CC766A" w:rsidRDefault="00CC766A" w:rsidP="004800B9">
            <w:pPr>
              <w:jc w:val="center"/>
              <w:rPr>
                <w:b/>
              </w:rPr>
            </w:pPr>
            <w:r>
              <w:rPr>
                <w:b/>
              </w:rPr>
              <w:t>2015</w:t>
            </w:r>
          </w:p>
        </w:tc>
        <w:tc>
          <w:tcPr>
            <w:tcW w:w="2158" w:type="dxa"/>
            <w:gridSpan w:val="2"/>
          </w:tcPr>
          <w:p w:rsidR="00CC766A" w:rsidRDefault="00CC766A" w:rsidP="004800B9">
            <w:pPr>
              <w:jc w:val="center"/>
              <w:rPr>
                <w:b/>
              </w:rPr>
            </w:pPr>
            <w:r>
              <w:rPr>
                <w:b/>
              </w:rPr>
              <w:t>Change in metric</w:t>
            </w:r>
          </w:p>
        </w:tc>
      </w:tr>
      <w:tr w:rsidR="0092342F" w:rsidTr="0092342F">
        <w:trPr>
          <w:jc w:val="center"/>
        </w:trPr>
        <w:tc>
          <w:tcPr>
            <w:tcW w:w="1095" w:type="dxa"/>
          </w:tcPr>
          <w:p w:rsidR="0092342F" w:rsidRDefault="00110A48" w:rsidP="009D166F">
            <w:pPr>
              <w:rPr>
                <w:b/>
              </w:rPr>
            </w:pPr>
            <w:r>
              <w:rPr>
                <w:b/>
              </w:rPr>
              <w:t>Qui</w:t>
            </w:r>
            <w:r w:rsidR="0092342F">
              <w:rPr>
                <w:b/>
              </w:rPr>
              <w:t>ntiles</w:t>
            </w:r>
          </w:p>
        </w:tc>
        <w:tc>
          <w:tcPr>
            <w:tcW w:w="1168" w:type="dxa"/>
          </w:tcPr>
          <w:p w:rsidR="0092342F" w:rsidRDefault="0092342F" w:rsidP="004800B9">
            <w:pPr>
              <w:jc w:val="center"/>
              <w:rPr>
                <w:b/>
              </w:rPr>
            </w:pPr>
            <w:r>
              <w:rPr>
                <w:b/>
              </w:rPr>
              <w:t>Est</w:t>
            </w:r>
          </w:p>
        </w:tc>
        <w:tc>
          <w:tcPr>
            <w:tcW w:w="1014" w:type="dxa"/>
          </w:tcPr>
          <w:p w:rsidR="0092342F" w:rsidRDefault="009D2D59" w:rsidP="004800B9">
            <w:pPr>
              <w:jc w:val="center"/>
              <w:rPr>
                <w:b/>
              </w:rPr>
            </w:pPr>
            <w:r>
              <w:rPr>
                <w:b/>
              </w:rPr>
              <w:t>Std. Err</w:t>
            </w:r>
          </w:p>
        </w:tc>
        <w:tc>
          <w:tcPr>
            <w:tcW w:w="1169" w:type="dxa"/>
          </w:tcPr>
          <w:p w:rsidR="0092342F" w:rsidRDefault="0092342F" w:rsidP="004800B9">
            <w:pPr>
              <w:jc w:val="center"/>
              <w:rPr>
                <w:b/>
              </w:rPr>
            </w:pPr>
            <w:proofErr w:type="spellStart"/>
            <w:r>
              <w:rPr>
                <w:b/>
              </w:rPr>
              <w:t>est</w:t>
            </w:r>
            <w:proofErr w:type="spellEnd"/>
          </w:p>
        </w:tc>
        <w:tc>
          <w:tcPr>
            <w:tcW w:w="1014" w:type="dxa"/>
          </w:tcPr>
          <w:p w:rsidR="0092342F" w:rsidRDefault="009D2D59" w:rsidP="004800B9">
            <w:pPr>
              <w:jc w:val="center"/>
              <w:rPr>
                <w:b/>
              </w:rPr>
            </w:pPr>
            <w:r>
              <w:rPr>
                <w:b/>
              </w:rPr>
              <w:t>Std. Err</w:t>
            </w:r>
          </w:p>
        </w:tc>
        <w:tc>
          <w:tcPr>
            <w:tcW w:w="1097" w:type="dxa"/>
          </w:tcPr>
          <w:p w:rsidR="0092342F" w:rsidRDefault="0092342F" w:rsidP="004800B9">
            <w:pPr>
              <w:jc w:val="center"/>
              <w:rPr>
                <w:b/>
              </w:rPr>
            </w:pPr>
            <w:r>
              <w:rPr>
                <w:b/>
              </w:rPr>
              <w:t>Percent</w:t>
            </w:r>
          </w:p>
        </w:tc>
        <w:tc>
          <w:tcPr>
            <w:tcW w:w="1061" w:type="dxa"/>
          </w:tcPr>
          <w:p w:rsidR="0092342F" w:rsidRDefault="009D2D59" w:rsidP="004800B9">
            <w:pPr>
              <w:jc w:val="center"/>
              <w:rPr>
                <w:b/>
              </w:rPr>
            </w:pPr>
            <w:r>
              <w:rPr>
                <w:b/>
              </w:rPr>
              <w:t>Std. Err</w:t>
            </w:r>
          </w:p>
        </w:tc>
      </w:tr>
      <w:tr w:rsidR="00065194" w:rsidTr="00D23470">
        <w:trPr>
          <w:jc w:val="center"/>
        </w:trPr>
        <w:tc>
          <w:tcPr>
            <w:tcW w:w="1095" w:type="dxa"/>
          </w:tcPr>
          <w:p w:rsidR="00065194" w:rsidRDefault="00065194" w:rsidP="009D166F">
            <w:pPr>
              <w:rPr>
                <w:b/>
              </w:rPr>
            </w:pPr>
            <w:r>
              <w:rPr>
                <w:b/>
              </w:rPr>
              <w:t xml:space="preserve">   First</w:t>
            </w:r>
          </w:p>
        </w:tc>
        <w:tc>
          <w:tcPr>
            <w:tcW w:w="1168" w:type="dxa"/>
          </w:tcPr>
          <w:p w:rsidR="00065194" w:rsidRPr="00110A48" w:rsidRDefault="00065194" w:rsidP="004554A0">
            <w:pPr>
              <w:jc w:val="right"/>
            </w:pPr>
            <w:r w:rsidRPr="00110A48">
              <w:t>0.04798</w:t>
            </w:r>
            <w:r w:rsidR="006F20B4">
              <w:t>*</w:t>
            </w:r>
          </w:p>
        </w:tc>
        <w:tc>
          <w:tcPr>
            <w:tcW w:w="1014" w:type="dxa"/>
          </w:tcPr>
          <w:p w:rsidR="00065194" w:rsidRPr="00110A48" w:rsidRDefault="00065194" w:rsidP="004554A0">
            <w:pPr>
              <w:jc w:val="right"/>
            </w:pPr>
            <w:r w:rsidRPr="00110A48">
              <w:t>0.00015</w:t>
            </w:r>
          </w:p>
        </w:tc>
        <w:tc>
          <w:tcPr>
            <w:tcW w:w="1169" w:type="dxa"/>
          </w:tcPr>
          <w:p w:rsidR="00065194" w:rsidRPr="00110A48" w:rsidRDefault="00065194" w:rsidP="004554A0">
            <w:pPr>
              <w:jc w:val="right"/>
            </w:pPr>
            <w:r w:rsidRPr="00110A48">
              <w:t>0.04541</w:t>
            </w:r>
            <w:r w:rsidR="006F20B4">
              <w:t>*</w:t>
            </w:r>
          </w:p>
        </w:tc>
        <w:tc>
          <w:tcPr>
            <w:tcW w:w="1014" w:type="dxa"/>
          </w:tcPr>
          <w:p w:rsidR="00065194" w:rsidRPr="00110A48" w:rsidRDefault="00065194" w:rsidP="004554A0">
            <w:pPr>
              <w:jc w:val="right"/>
            </w:pPr>
            <w:r w:rsidRPr="00110A48">
              <w:t>0.00011</w:t>
            </w:r>
          </w:p>
        </w:tc>
        <w:tc>
          <w:tcPr>
            <w:tcW w:w="1097" w:type="dxa"/>
          </w:tcPr>
          <w:p w:rsidR="00065194" w:rsidRPr="00110A48" w:rsidRDefault="00065194" w:rsidP="004554A0">
            <w:pPr>
              <w:jc w:val="right"/>
            </w:pPr>
            <w:r w:rsidRPr="00110A48">
              <w:t>-5.36</w:t>
            </w:r>
            <w:r w:rsidR="006F20B4">
              <w:t>*</w:t>
            </w:r>
          </w:p>
        </w:tc>
        <w:tc>
          <w:tcPr>
            <w:tcW w:w="1061" w:type="dxa"/>
            <w:vAlign w:val="bottom"/>
          </w:tcPr>
          <w:p w:rsidR="00065194" w:rsidRDefault="00065194">
            <w:pPr>
              <w:jc w:val="right"/>
              <w:rPr>
                <w:rFonts w:ascii="Calibri" w:hAnsi="Calibri"/>
                <w:color w:val="000000"/>
              </w:rPr>
            </w:pPr>
            <w:r>
              <w:rPr>
                <w:rFonts w:ascii="Calibri" w:hAnsi="Calibri"/>
                <w:color w:val="000000"/>
              </w:rPr>
              <w:t>0.37431</w:t>
            </w:r>
          </w:p>
        </w:tc>
      </w:tr>
      <w:tr w:rsidR="00065194" w:rsidTr="00D23470">
        <w:trPr>
          <w:jc w:val="center"/>
        </w:trPr>
        <w:tc>
          <w:tcPr>
            <w:tcW w:w="1095" w:type="dxa"/>
          </w:tcPr>
          <w:p w:rsidR="00065194" w:rsidRDefault="00065194" w:rsidP="009D166F">
            <w:pPr>
              <w:rPr>
                <w:b/>
              </w:rPr>
            </w:pPr>
            <w:r>
              <w:rPr>
                <w:b/>
              </w:rPr>
              <w:t xml:space="preserve">   Second</w:t>
            </w:r>
          </w:p>
        </w:tc>
        <w:tc>
          <w:tcPr>
            <w:tcW w:w="1168" w:type="dxa"/>
          </w:tcPr>
          <w:p w:rsidR="00065194" w:rsidRPr="00110A48" w:rsidRDefault="00065194" w:rsidP="004554A0">
            <w:pPr>
              <w:jc w:val="right"/>
            </w:pPr>
            <w:r w:rsidRPr="00110A48">
              <w:t>0.10881</w:t>
            </w:r>
            <w:r w:rsidR="006F20B4">
              <w:t>*</w:t>
            </w:r>
          </w:p>
        </w:tc>
        <w:tc>
          <w:tcPr>
            <w:tcW w:w="1014" w:type="dxa"/>
          </w:tcPr>
          <w:p w:rsidR="00065194" w:rsidRPr="00110A48" w:rsidRDefault="00065194" w:rsidP="004554A0">
            <w:pPr>
              <w:jc w:val="right"/>
            </w:pPr>
            <w:r w:rsidRPr="00110A48">
              <w:t>0.00028</w:t>
            </w:r>
          </w:p>
        </w:tc>
        <w:tc>
          <w:tcPr>
            <w:tcW w:w="1169" w:type="dxa"/>
          </w:tcPr>
          <w:p w:rsidR="00065194" w:rsidRPr="00110A48" w:rsidRDefault="00065194" w:rsidP="004554A0">
            <w:pPr>
              <w:jc w:val="right"/>
            </w:pPr>
            <w:r w:rsidRPr="00110A48">
              <w:t>0.10425</w:t>
            </w:r>
            <w:r w:rsidR="006F20B4">
              <w:t>*</w:t>
            </w:r>
          </w:p>
        </w:tc>
        <w:tc>
          <w:tcPr>
            <w:tcW w:w="1014" w:type="dxa"/>
          </w:tcPr>
          <w:p w:rsidR="00065194" w:rsidRPr="00110A48" w:rsidRDefault="00065194" w:rsidP="004554A0">
            <w:pPr>
              <w:jc w:val="right"/>
            </w:pPr>
            <w:r w:rsidRPr="00110A48">
              <w:t>0.00022</w:t>
            </w:r>
          </w:p>
        </w:tc>
        <w:tc>
          <w:tcPr>
            <w:tcW w:w="1097" w:type="dxa"/>
          </w:tcPr>
          <w:p w:rsidR="00065194" w:rsidRPr="00110A48" w:rsidRDefault="00065194" w:rsidP="004554A0">
            <w:pPr>
              <w:jc w:val="right"/>
            </w:pPr>
            <w:r w:rsidRPr="00110A48">
              <w:t>-4.19</w:t>
            </w:r>
            <w:r w:rsidR="006F20B4">
              <w:t>*</w:t>
            </w:r>
          </w:p>
        </w:tc>
        <w:tc>
          <w:tcPr>
            <w:tcW w:w="1061" w:type="dxa"/>
            <w:vAlign w:val="bottom"/>
          </w:tcPr>
          <w:p w:rsidR="00065194" w:rsidRDefault="00065194">
            <w:pPr>
              <w:jc w:val="right"/>
              <w:rPr>
                <w:rFonts w:ascii="Calibri" w:hAnsi="Calibri"/>
                <w:color w:val="000000"/>
              </w:rPr>
            </w:pPr>
            <w:r>
              <w:rPr>
                <w:rFonts w:ascii="Calibri" w:hAnsi="Calibri"/>
                <w:color w:val="000000"/>
              </w:rPr>
              <w:t>0.31885</w:t>
            </w:r>
          </w:p>
        </w:tc>
      </w:tr>
      <w:tr w:rsidR="00065194" w:rsidTr="00D23470">
        <w:trPr>
          <w:jc w:val="center"/>
        </w:trPr>
        <w:tc>
          <w:tcPr>
            <w:tcW w:w="1095" w:type="dxa"/>
          </w:tcPr>
          <w:p w:rsidR="00065194" w:rsidRDefault="00065194" w:rsidP="009D166F">
            <w:pPr>
              <w:rPr>
                <w:b/>
              </w:rPr>
            </w:pPr>
            <w:r>
              <w:rPr>
                <w:b/>
              </w:rPr>
              <w:t xml:space="preserve">   Third</w:t>
            </w:r>
          </w:p>
        </w:tc>
        <w:tc>
          <w:tcPr>
            <w:tcW w:w="1168" w:type="dxa"/>
          </w:tcPr>
          <w:p w:rsidR="00065194" w:rsidRPr="00110A48" w:rsidRDefault="00065194" w:rsidP="004554A0">
            <w:pPr>
              <w:jc w:val="right"/>
            </w:pPr>
            <w:r w:rsidRPr="00110A48">
              <w:t>0.16477</w:t>
            </w:r>
            <w:r w:rsidR="006F20B4">
              <w:t>*</w:t>
            </w:r>
          </w:p>
        </w:tc>
        <w:tc>
          <w:tcPr>
            <w:tcW w:w="1014" w:type="dxa"/>
          </w:tcPr>
          <w:p w:rsidR="00065194" w:rsidRPr="00110A48" w:rsidRDefault="00065194" w:rsidP="004554A0">
            <w:pPr>
              <w:jc w:val="right"/>
            </w:pPr>
            <w:r w:rsidRPr="00110A48">
              <w:t>0.00038</w:t>
            </w:r>
          </w:p>
        </w:tc>
        <w:tc>
          <w:tcPr>
            <w:tcW w:w="1169" w:type="dxa"/>
          </w:tcPr>
          <w:p w:rsidR="00065194" w:rsidRPr="00110A48" w:rsidRDefault="00065194" w:rsidP="004554A0">
            <w:pPr>
              <w:jc w:val="right"/>
            </w:pPr>
            <w:r w:rsidRPr="00110A48">
              <w:t>0.16078</w:t>
            </w:r>
            <w:r w:rsidR="006F20B4">
              <w:t>*</w:t>
            </w:r>
          </w:p>
        </w:tc>
        <w:tc>
          <w:tcPr>
            <w:tcW w:w="1014" w:type="dxa"/>
          </w:tcPr>
          <w:p w:rsidR="00065194" w:rsidRPr="00110A48" w:rsidRDefault="00065194" w:rsidP="004554A0">
            <w:pPr>
              <w:jc w:val="right"/>
            </w:pPr>
            <w:r w:rsidRPr="00110A48">
              <w:t>0.00037</w:t>
            </w:r>
          </w:p>
        </w:tc>
        <w:tc>
          <w:tcPr>
            <w:tcW w:w="1097" w:type="dxa"/>
          </w:tcPr>
          <w:p w:rsidR="00065194" w:rsidRPr="00110A48" w:rsidRDefault="00065194" w:rsidP="004554A0">
            <w:pPr>
              <w:jc w:val="right"/>
            </w:pPr>
            <w:r w:rsidRPr="00110A48">
              <w:t>-2.42</w:t>
            </w:r>
            <w:r w:rsidR="006F20B4">
              <w:t>*</w:t>
            </w:r>
          </w:p>
        </w:tc>
        <w:tc>
          <w:tcPr>
            <w:tcW w:w="1061" w:type="dxa"/>
            <w:vAlign w:val="bottom"/>
          </w:tcPr>
          <w:p w:rsidR="00065194" w:rsidRDefault="00065194">
            <w:pPr>
              <w:jc w:val="right"/>
              <w:rPr>
                <w:rFonts w:ascii="Calibri" w:hAnsi="Calibri"/>
                <w:color w:val="000000"/>
              </w:rPr>
            </w:pPr>
            <w:r>
              <w:rPr>
                <w:rFonts w:ascii="Calibri" w:hAnsi="Calibri"/>
                <w:color w:val="000000"/>
              </w:rPr>
              <w:t>0.31791</w:t>
            </w:r>
          </w:p>
        </w:tc>
      </w:tr>
      <w:tr w:rsidR="00065194" w:rsidTr="00D23470">
        <w:trPr>
          <w:jc w:val="center"/>
        </w:trPr>
        <w:tc>
          <w:tcPr>
            <w:tcW w:w="1095" w:type="dxa"/>
          </w:tcPr>
          <w:p w:rsidR="00065194" w:rsidRDefault="00065194" w:rsidP="009D166F">
            <w:pPr>
              <w:rPr>
                <w:b/>
              </w:rPr>
            </w:pPr>
            <w:r>
              <w:rPr>
                <w:b/>
              </w:rPr>
              <w:t xml:space="preserve">   Fourth</w:t>
            </w:r>
          </w:p>
        </w:tc>
        <w:tc>
          <w:tcPr>
            <w:tcW w:w="1168" w:type="dxa"/>
          </w:tcPr>
          <w:p w:rsidR="00065194" w:rsidRPr="00110A48" w:rsidRDefault="00065194" w:rsidP="004554A0">
            <w:pPr>
              <w:jc w:val="right"/>
            </w:pPr>
            <w:r w:rsidRPr="00110A48">
              <w:t>0.23309</w:t>
            </w:r>
            <w:r w:rsidR="006F20B4">
              <w:t>*</w:t>
            </w:r>
          </w:p>
        </w:tc>
        <w:tc>
          <w:tcPr>
            <w:tcW w:w="1014" w:type="dxa"/>
          </w:tcPr>
          <w:p w:rsidR="00065194" w:rsidRPr="00110A48" w:rsidRDefault="00065194" w:rsidP="004554A0">
            <w:pPr>
              <w:jc w:val="right"/>
            </w:pPr>
            <w:r w:rsidRPr="00110A48">
              <w:t>0.00061</w:t>
            </w:r>
          </w:p>
        </w:tc>
        <w:tc>
          <w:tcPr>
            <w:tcW w:w="1169" w:type="dxa"/>
          </w:tcPr>
          <w:p w:rsidR="00065194" w:rsidRPr="00110A48" w:rsidRDefault="00065194" w:rsidP="004554A0">
            <w:pPr>
              <w:jc w:val="right"/>
            </w:pPr>
            <w:r w:rsidRPr="00110A48">
              <w:t>0.23175</w:t>
            </w:r>
            <w:r w:rsidR="006F20B4">
              <w:t>*</w:t>
            </w:r>
          </w:p>
        </w:tc>
        <w:tc>
          <w:tcPr>
            <w:tcW w:w="1014" w:type="dxa"/>
          </w:tcPr>
          <w:p w:rsidR="00065194" w:rsidRPr="00110A48" w:rsidRDefault="00065194" w:rsidP="004554A0">
            <w:pPr>
              <w:jc w:val="right"/>
            </w:pPr>
            <w:r w:rsidRPr="00110A48">
              <w:t>0.00059</w:t>
            </w:r>
          </w:p>
        </w:tc>
        <w:tc>
          <w:tcPr>
            <w:tcW w:w="1097" w:type="dxa"/>
          </w:tcPr>
          <w:p w:rsidR="00065194" w:rsidRPr="00110A48" w:rsidRDefault="00065194" w:rsidP="004554A0">
            <w:pPr>
              <w:jc w:val="right"/>
            </w:pPr>
            <w:r w:rsidRPr="00110A48">
              <w:t>-0.57</w:t>
            </w:r>
          </w:p>
        </w:tc>
        <w:tc>
          <w:tcPr>
            <w:tcW w:w="1061" w:type="dxa"/>
            <w:vAlign w:val="bottom"/>
          </w:tcPr>
          <w:p w:rsidR="00065194" w:rsidRDefault="00065194">
            <w:pPr>
              <w:jc w:val="right"/>
              <w:rPr>
                <w:rFonts w:ascii="Calibri" w:hAnsi="Calibri"/>
                <w:color w:val="000000"/>
              </w:rPr>
            </w:pPr>
            <w:r>
              <w:rPr>
                <w:rFonts w:ascii="Calibri" w:hAnsi="Calibri"/>
                <w:color w:val="000000"/>
              </w:rPr>
              <w:t>0.36301</w:t>
            </w:r>
          </w:p>
        </w:tc>
      </w:tr>
      <w:tr w:rsidR="00065194" w:rsidTr="00D23470">
        <w:trPr>
          <w:trHeight w:val="332"/>
          <w:jc w:val="center"/>
        </w:trPr>
        <w:tc>
          <w:tcPr>
            <w:tcW w:w="1095" w:type="dxa"/>
          </w:tcPr>
          <w:p w:rsidR="00065194" w:rsidRDefault="00065194" w:rsidP="009D166F">
            <w:pPr>
              <w:rPr>
                <w:b/>
              </w:rPr>
            </w:pPr>
            <w:r>
              <w:rPr>
                <w:b/>
              </w:rPr>
              <w:t xml:space="preserve">   Fifth</w:t>
            </w:r>
          </w:p>
        </w:tc>
        <w:tc>
          <w:tcPr>
            <w:tcW w:w="1168" w:type="dxa"/>
          </w:tcPr>
          <w:p w:rsidR="00065194" w:rsidRPr="00110A48" w:rsidRDefault="00065194" w:rsidP="004554A0">
            <w:pPr>
              <w:jc w:val="right"/>
            </w:pPr>
            <w:r w:rsidRPr="00110A48">
              <w:t>0.44536</w:t>
            </w:r>
            <w:r w:rsidR="006F20B4">
              <w:t>*</w:t>
            </w:r>
          </w:p>
        </w:tc>
        <w:tc>
          <w:tcPr>
            <w:tcW w:w="1014" w:type="dxa"/>
          </w:tcPr>
          <w:p w:rsidR="00065194" w:rsidRPr="00110A48" w:rsidRDefault="00065194" w:rsidP="004554A0">
            <w:pPr>
              <w:jc w:val="right"/>
            </w:pPr>
            <w:r w:rsidRPr="00110A48">
              <w:t>0.00141</w:t>
            </w:r>
          </w:p>
        </w:tc>
        <w:tc>
          <w:tcPr>
            <w:tcW w:w="1169" w:type="dxa"/>
          </w:tcPr>
          <w:p w:rsidR="00065194" w:rsidRPr="00110A48" w:rsidRDefault="00065194" w:rsidP="004554A0">
            <w:pPr>
              <w:jc w:val="right"/>
            </w:pPr>
            <w:r w:rsidRPr="00110A48">
              <w:t>0.45782</w:t>
            </w:r>
            <w:r w:rsidR="006F20B4">
              <w:t>*</w:t>
            </w:r>
          </w:p>
        </w:tc>
        <w:tc>
          <w:tcPr>
            <w:tcW w:w="1014" w:type="dxa"/>
          </w:tcPr>
          <w:p w:rsidR="00065194" w:rsidRPr="00110A48" w:rsidRDefault="00065194" w:rsidP="004554A0">
            <w:pPr>
              <w:jc w:val="right"/>
            </w:pPr>
            <w:r w:rsidRPr="00110A48">
              <w:t>0.00117</w:t>
            </w:r>
          </w:p>
        </w:tc>
        <w:tc>
          <w:tcPr>
            <w:tcW w:w="1097" w:type="dxa"/>
          </w:tcPr>
          <w:p w:rsidR="00065194" w:rsidRPr="00110A48" w:rsidRDefault="00065194" w:rsidP="004554A0">
            <w:pPr>
              <w:jc w:val="right"/>
            </w:pPr>
            <w:r w:rsidRPr="00110A48">
              <w:t>2.80</w:t>
            </w:r>
            <w:r w:rsidR="006F20B4">
              <w:t>*</w:t>
            </w:r>
          </w:p>
        </w:tc>
        <w:tc>
          <w:tcPr>
            <w:tcW w:w="1061" w:type="dxa"/>
            <w:vAlign w:val="bottom"/>
          </w:tcPr>
          <w:p w:rsidR="00065194" w:rsidRDefault="00065194">
            <w:pPr>
              <w:jc w:val="right"/>
              <w:rPr>
                <w:rFonts w:ascii="Calibri" w:hAnsi="Calibri"/>
                <w:color w:val="000000"/>
              </w:rPr>
            </w:pPr>
            <w:r>
              <w:rPr>
                <w:rFonts w:ascii="Calibri" w:hAnsi="Calibri"/>
                <w:color w:val="000000"/>
              </w:rPr>
              <w:t>0.41826</w:t>
            </w:r>
          </w:p>
        </w:tc>
      </w:tr>
      <w:tr w:rsidR="00065194" w:rsidTr="00D23470">
        <w:trPr>
          <w:trHeight w:val="332"/>
          <w:jc w:val="center"/>
        </w:trPr>
        <w:tc>
          <w:tcPr>
            <w:tcW w:w="1095" w:type="dxa"/>
          </w:tcPr>
          <w:p w:rsidR="00065194" w:rsidRDefault="00065194" w:rsidP="009D166F">
            <w:pPr>
              <w:rPr>
                <w:b/>
              </w:rPr>
            </w:pPr>
            <w:r>
              <w:rPr>
                <w:b/>
              </w:rPr>
              <w:t>Top 1%</w:t>
            </w:r>
          </w:p>
        </w:tc>
        <w:tc>
          <w:tcPr>
            <w:tcW w:w="1168" w:type="dxa"/>
          </w:tcPr>
          <w:p w:rsidR="00065194" w:rsidRPr="00110A48" w:rsidRDefault="00065194" w:rsidP="004554A0">
            <w:pPr>
              <w:jc w:val="right"/>
            </w:pPr>
            <w:r>
              <w:t>0.06719</w:t>
            </w:r>
            <w:r w:rsidR="006F20B4">
              <w:t>*</w:t>
            </w:r>
          </w:p>
        </w:tc>
        <w:tc>
          <w:tcPr>
            <w:tcW w:w="1014" w:type="dxa"/>
          </w:tcPr>
          <w:p w:rsidR="00065194" w:rsidRPr="00110A48" w:rsidRDefault="00065194" w:rsidP="004554A0">
            <w:pPr>
              <w:jc w:val="right"/>
            </w:pPr>
            <w:r>
              <w:t>0.00084</w:t>
            </w:r>
          </w:p>
        </w:tc>
        <w:tc>
          <w:tcPr>
            <w:tcW w:w="1169" w:type="dxa"/>
          </w:tcPr>
          <w:p w:rsidR="00065194" w:rsidRPr="00110A48" w:rsidRDefault="00065194" w:rsidP="004554A0">
            <w:pPr>
              <w:jc w:val="right"/>
            </w:pPr>
            <w:r>
              <w:t>0.07194</w:t>
            </w:r>
            <w:r w:rsidR="006F20B4">
              <w:t>*</w:t>
            </w:r>
          </w:p>
        </w:tc>
        <w:tc>
          <w:tcPr>
            <w:tcW w:w="1014" w:type="dxa"/>
          </w:tcPr>
          <w:p w:rsidR="00065194" w:rsidRPr="00110A48" w:rsidRDefault="00065194" w:rsidP="004554A0">
            <w:pPr>
              <w:jc w:val="right"/>
            </w:pPr>
            <w:r>
              <w:t>0.00071</w:t>
            </w:r>
          </w:p>
        </w:tc>
        <w:tc>
          <w:tcPr>
            <w:tcW w:w="1097" w:type="dxa"/>
          </w:tcPr>
          <w:p w:rsidR="00065194" w:rsidRPr="00110A48" w:rsidRDefault="00065194" w:rsidP="004554A0">
            <w:pPr>
              <w:jc w:val="right"/>
            </w:pPr>
            <w:r>
              <w:t>7.07</w:t>
            </w:r>
            <w:r w:rsidR="006F20B4">
              <w:t>*</w:t>
            </w:r>
          </w:p>
        </w:tc>
        <w:tc>
          <w:tcPr>
            <w:tcW w:w="1061" w:type="dxa"/>
            <w:vAlign w:val="bottom"/>
          </w:tcPr>
          <w:p w:rsidR="00065194" w:rsidRDefault="00065194">
            <w:pPr>
              <w:jc w:val="right"/>
              <w:rPr>
                <w:rFonts w:ascii="Calibri" w:hAnsi="Calibri"/>
                <w:color w:val="000000"/>
              </w:rPr>
            </w:pPr>
            <w:r>
              <w:rPr>
                <w:rFonts w:ascii="Calibri" w:hAnsi="Calibri"/>
                <w:color w:val="000000"/>
              </w:rPr>
              <w:t>1.70540</w:t>
            </w:r>
          </w:p>
        </w:tc>
      </w:tr>
      <w:tr w:rsidR="00110A48" w:rsidTr="00110A48">
        <w:trPr>
          <w:trHeight w:val="332"/>
          <w:jc w:val="center"/>
        </w:trPr>
        <w:tc>
          <w:tcPr>
            <w:tcW w:w="7618" w:type="dxa"/>
            <w:gridSpan w:val="7"/>
          </w:tcPr>
          <w:p w:rsidR="006F20B4" w:rsidRDefault="006F20B4" w:rsidP="00110A48">
            <w:pPr>
              <w:rPr>
                <w:sz w:val="18"/>
                <w:szCs w:val="18"/>
              </w:rPr>
            </w:pPr>
            <w:r>
              <w:rPr>
                <w:sz w:val="18"/>
                <w:szCs w:val="18"/>
              </w:rPr>
              <w:t>*Significant at the 90% confidence level</w:t>
            </w:r>
          </w:p>
          <w:p w:rsidR="00110A48" w:rsidRPr="00110A48" w:rsidRDefault="00110A48" w:rsidP="00110A48">
            <w:r>
              <w:rPr>
                <w:sz w:val="18"/>
                <w:szCs w:val="18"/>
              </w:rPr>
              <w:t>Source: 2005 and 2015 American Community Survey. For more information on the ACS, see census.gov/</w:t>
            </w:r>
            <w:proofErr w:type="spellStart"/>
            <w:r>
              <w:rPr>
                <w:sz w:val="18"/>
                <w:szCs w:val="18"/>
              </w:rPr>
              <w:t>acs</w:t>
            </w:r>
            <w:proofErr w:type="spellEnd"/>
            <w:r>
              <w:rPr>
                <w:sz w:val="18"/>
                <w:szCs w:val="18"/>
              </w:rPr>
              <w:t>.</w:t>
            </w:r>
          </w:p>
        </w:tc>
      </w:tr>
    </w:tbl>
    <w:p w:rsidR="00CC766A" w:rsidRDefault="00CC766A" w:rsidP="00BA2257">
      <w:pPr>
        <w:rPr>
          <w:b/>
        </w:rPr>
      </w:pPr>
    </w:p>
    <w:p w:rsidR="00B736EC" w:rsidRDefault="00B736EC" w:rsidP="00B736EC">
      <w:pPr>
        <w:rPr>
          <w:b/>
        </w:rPr>
      </w:pPr>
      <w:r>
        <w:rPr>
          <w:b/>
        </w:rPr>
        <w:t>Income inequality metrics over time: 2005 through 2015</w:t>
      </w:r>
    </w:p>
    <w:p w:rsidR="00DF3671" w:rsidRDefault="00476A98" w:rsidP="00D35E73">
      <w:pPr>
        <w:spacing w:line="360" w:lineRule="auto"/>
      </w:pPr>
      <w:r>
        <w:rPr>
          <w:b/>
        </w:rPr>
        <w:tab/>
      </w:r>
      <w:r w:rsidR="00F41195">
        <w:t>Tables 4 through 7</w:t>
      </w:r>
      <w:r>
        <w:t xml:space="preserve"> show that income inequ</w:t>
      </w:r>
      <w:r w:rsidR="00D35E73">
        <w:t xml:space="preserve">ality has increased over time.  </w:t>
      </w:r>
      <w:r>
        <w:t>However, t</w:t>
      </w:r>
      <w:r w:rsidRPr="00B736EC">
        <w:t xml:space="preserve">hese </w:t>
      </w:r>
      <w:r w:rsidR="00B37B06">
        <w:t>tables just compare two years</w:t>
      </w:r>
      <w:r>
        <w:t xml:space="preserve"> while</w:t>
      </w:r>
      <w:r w:rsidRPr="00B736EC">
        <w:t xml:space="preserve"> </w:t>
      </w:r>
      <w:r w:rsidR="001127B3">
        <w:t>ignoring</w:t>
      </w:r>
      <w:r>
        <w:t xml:space="preserve"> the</w:t>
      </w:r>
      <w:r w:rsidRPr="00B736EC">
        <w:t xml:space="preserve"> full pattern over the </w:t>
      </w:r>
      <w:r>
        <w:t xml:space="preserve">time </w:t>
      </w:r>
      <w:r w:rsidRPr="00B736EC">
        <w:t>period</w:t>
      </w:r>
      <w:r>
        <w:t>.</w:t>
      </w:r>
      <w:r w:rsidR="00E15EA2">
        <w:t xml:space="preserve">  In this section, </w:t>
      </w:r>
      <w:r w:rsidR="001127B3">
        <w:t>tables</w:t>
      </w:r>
      <w:r w:rsidR="00B37B06">
        <w:t xml:space="preserve"> illustrate</w:t>
      </w:r>
      <w:r w:rsidR="00D35E73">
        <w:t xml:space="preserve"> the different income inequality metrics covering the period from 2005 through 2015.</w:t>
      </w:r>
      <w:r w:rsidR="00E15EA2">
        <w:t xml:space="preserve">  I</w:t>
      </w:r>
      <w:r w:rsidR="005F0C10">
        <w:t xml:space="preserve"> only </w:t>
      </w:r>
      <w:r w:rsidR="001127B3">
        <w:t>show tables</w:t>
      </w:r>
      <w:r w:rsidR="005F0C10">
        <w:t xml:space="preserve"> for after-tax, after-transfer</w:t>
      </w:r>
      <w:r w:rsidR="00DF3671">
        <w:t xml:space="preserve"> household income</w:t>
      </w:r>
      <w:r w:rsidR="00502A72">
        <w:t xml:space="preserve"> in Table 8 and Table 9</w:t>
      </w:r>
      <w:r w:rsidR="00DF3671">
        <w:t xml:space="preserve">, but I </w:t>
      </w:r>
      <w:r w:rsidR="009D4968">
        <w:t>note the metrics in each table that had different changes for pre-tax, pre-transfer household income.</w:t>
      </w:r>
    </w:p>
    <w:p w:rsidR="00750C12" w:rsidRDefault="001127B3" w:rsidP="00D35E73">
      <w:pPr>
        <w:spacing w:line="360" w:lineRule="auto"/>
      </w:pPr>
      <w:r>
        <w:tab/>
        <w:t xml:space="preserve">In Table </w:t>
      </w:r>
      <w:r w:rsidR="00502A72">
        <w:t>8</w:t>
      </w:r>
      <w:r>
        <w:t xml:space="preserve">, a plus sign is listed if there was a statistically significant increase at the </w:t>
      </w:r>
      <w:r w:rsidR="004D5EC3">
        <w:t>ninety</w:t>
      </w:r>
      <w:r>
        <w:t xml:space="preserve"> percent </w:t>
      </w:r>
      <w:r w:rsidR="004D5EC3">
        <w:t xml:space="preserve">confidence </w:t>
      </w:r>
      <w:r>
        <w:t xml:space="preserve">level in the income inequality metric, a minus sign is listed if there was a statistically significant decrease at the </w:t>
      </w:r>
      <w:r w:rsidR="004D5EC3">
        <w:t>ninety</w:t>
      </w:r>
      <w:r>
        <w:t xml:space="preserve"> percent </w:t>
      </w:r>
      <w:r w:rsidR="004D5EC3">
        <w:t xml:space="preserve">confidence </w:t>
      </w:r>
      <w:r>
        <w:t>level in the income inequality metric, and a blank space occurs if there was no statistically significant change</w:t>
      </w:r>
      <w:r w:rsidR="00577B7E">
        <w:t xml:space="preserve"> at the ninety percent confidence level</w:t>
      </w:r>
      <w:r>
        <w:t xml:space="preserve"> in the i</w:t>
      </w:r>
      <w:r w:rsidR="00D7646A">
        <w:t xml:space="preserve">ncome inequality metric listed.  </w:t>
      </w:r>
      <w:r w:rsidR="00C325BC">
        <w:t>To make all the information in the table easier to digest, the table is divided into three sections: summary measures, income ratios, and</w:t>
      </w:r>
      <w:r w:rsidR="009D4968">
        <w:t xml:space="preserve"> non-overlapping income ratios.</w:t>
      </w:r>
    </w:p>
    <w:p w:rsidR="00C325BC" w:rsidRPr="00C325BC" w:rsidRDefault="00C325BC" w:rsidP="00C325BC">
      <w:pPr>
        <w:pStyle w:val="ListParagraph"/>
        <w:numPr>
          <w:ilvl w:val="0"/>
          <w:numId w:val="11"/>
        </w:numPr>
        <w:spacing w:line="360" w:lineRule="auto"/>
        <w:rPr>
          <w:b/>
        </w:rPr>
      </w:pPr>
      <w:r w:rsidRPr="00C325BC">
        <w:rPr>
          <w:b/>
        </w:rPr>
        <w:t>Summary Measures</w:t>
      </w:r>
    </w:p>
    <w:p w:rsidR="00BF3FD3" w:rsidRDefault="00502A72" w:rsidP="00D35E73">
      <w:pPr>
        <w:spacing w:line="360" w:lineRule="auto"/>
      </w:pPr>
      <w:r>
        <w:tab/>
        <w:t>In Table 5</w:t>
      </w:r>
      <w:r w:rsidR="00E15EA2">
        <w:t>, I</w:t>
      </w:r>
      <w:r w:rsidR="00BA2460">
        <w:t xml:space="preserve"> observed that from 2005 to 2015 each of the three metrics showed an overall increase in income inequality</w:t>
      </w:r>
      <w:r w:rsidR="00CB2BCA">
        <w:t xml:space="preserve">.  While this trend is apparent in each of the three measures in </w:t>
      </w:r>
      <w:r>
        <w:t>Table 8</w:t>
      </w:r>
      <w:r w:rsidR="00CB2BCA">
        <w:t>, income inequality was decreasing during several years.  For all three metrics, income inequality increased from 2007 to 2</w:t>
      </w:r>
      <w:r w:rsidR="00F15735">
        <w:t>008, decreased from 2008 to 2009</w:t>
      </w:r>
      <w:r w:rsidR="00CB2BCA">
        <w:t>,</w:t>
      </w:r>
      <w:r w:rsidR="00F15735">
        <w:t xml:space="preserve"> increased from 2009 to 2011,</w:t>
      </w:r>
      <w:r w:rsidR="00CB2BCA">
        <w:t xml:space="preserve"> decreased again from 2013 to 2014, and increased from 2014 to 2015.</w:t>
      </w:r>
    </w:p>
    <w:p w:rsidR="006A2249" w:rsidRDefault="00F15735" w:rsidP="00D35E73">
      <w:pPr>
        <w:spacing w:line="360" w:lineRule="auto"/>
      </w:pPr>
      <w:r>
        <w:tab/>
        <w:t xml:space="preserve">The differences in the measures occurred in the beginning of the series.  From 2005 to 2006, the Gini Index showed an increase, the MLD showed a decrease, and the Theil Index showed no significant </w:t>
      </w:r>
      <w:r>
        <w:lastRenderedPageBreak/>
        <w:t>change in income inequality.  From 2006 to 2007, the Gini Index showed a decrease and the MLD and Theil Index showed</w:t>
      </w:r>
      <w:r w:rsidR="00654A7B">
        <w:t xml:space="preserve"> </w:t>
      </w:r>
      <w:r w:rsidR="004C01C4">
        <w:t>increases in income inequality.</w:t>
      </w:r>
    </w:p>
    <w:tbl>
      <w:tblPr>
        <w:tblStyle w:val="LightShading-Accent1"/>
        <w:tblW w:w="10440" w:type="dxa"/>
        <w:tblInd w:w="-342" w:type="dxa"/>
        <w:tblLayout w:type="fixed"/>
        <w:tblLook w:val="04A0" w:firstRow="1" w:lastRow="0" w:firstColumn="1" w:lastColumn="0" w:noHBand="0" w:noVBand="1"/>
      </w:tblPr>
      <w:tblGrid>
        <w:gridCol w:w="1530"/>
        <w:gridCol w:w="810"/>
        <w:gridCol w:w="810"/>
        <w:gridCol w:w="810"/>
        <w:gridCol w:w="810"/>
        <w:gridCol w:w="810"/>
        <w:gridCol w:w="810"/>
        <w:gridCol w:w="810"/>
        <w:gridCol w:w="810"/>
        <w:gridCol w:w="810"/>
        <w:gridCol w:w="810"/>
        <w:gridCol w:w="810"/>
      </w:tblGrid>
      <w:tr w:rsidR="00834824" w:rsidRPr="004F411B" w:rsidTr="004C01C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40" w:type="dxa"/>
            <w:gridSpan w:val="12"/>
          </w:tcPr>
          <w:p w:rsidR="00834824" w:rsidRPr="004F411B" w:rsidRDefault="00502A72" w:rsidP="004F411B">
            <w:pPr>
              <w:jc w:val="center"/>
              <w:rPr>
                <w:rFonts w:ascii="Calibri" w:eastAsia="Times New Roman" w:hAnsi="Calibri" w:cs="Times New Roman"/>
                <w:bCs w:val="0"/>
                <w:color w:val="000000"/>
              </w:rPr>
            </w:pPr>
            <w:r>
              <w:rPr>
                <w:rFonts w:ascii="Calibri" w:eastAsia="Times New Roman" w:hAnsi="Calibri" w:cs="Times New Roman"/>
                <w:bCs w:val="0"/>
                <w:color w:val="000000"/>
              </w:rPr>
              <w:t>Table 8</w:t>
            </w:r>
            <w:r w:rsidR="00834824" w:rsidRPr="004F411B">
              <w:rPr>
                <w:rFonts w:ascii="Calibri" w:eastAsia="Times New Roman" w:hAnsi="Calibri" w:cs="Times New Roman"/>
                <w:bCs w:val="0"/>
                <w:color w:val="000000"/>
              </w:rPr>
              <w:t>: Changes in After-tax, After-transfer Household Income Inequality</w:t>
            </w:r>
          </w:p>
        </w:tc>
      </w:tr>
      <w:tr w:rsidR="004C01C4" w:rsidRPr="004F411B" w:rsidTr="004C01C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30" w:type="dxa"/>
          </w:tcPr>
          <w:p w:rsidR="00143793" w:rsidRPr="004F411B" w:rsidRDefault="00143793" w:rsidP="004F411B">
            <w:pPr>
              <w:jc w:val="center"/>
              <w:rPr>
                <w:rFonts w:ascii="Calibri" w:eastAsia="Times New Roman" w:hAnsi="Calibri" w:cs="Times New Roman"/>
                <w:color w:val="000000"/>
              </w:rPr>
            </w:pPr>
          </w:p>
        </w:tc>
        <w:tc>
          <w:tcPr>
            <w:tcW w:w="810" w:type="dxa"/>
            <w:hideMark/>
          </w:tcPr>
          <w:p w:rsidR="00143793" w:rsidRPr="004F411B" w:rsidRDefault="00143793" w:rsidP="004F411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F411B">
              <w:rPr>
                <w:rFonts w:ascii="Calibri" w:eastAsia="Times New Roman" w:hAnsi="Calibri" w:cs="Times New Roman"/>
                <w:color w:val="000000"/>
              </w:rPr>
              <w:t> </w:t>
            </w:r>
          </w:p>
        </w:tc>
        <w:tc>
          <w:tcPr>
            <w:tcW w:w="810" w:type="dxa"/>
            <w:hideMark/>
          </w:tcPr>
          <w:p w:rsidR="00143793" w:rsidRPr="004F411B" w:rsidRDefault="00143793" w:rsidP="004F41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2005-2006</w:t>
            </w:r>
          </w:p>
        </w:tc>
        <w:tc>
          <w:tcPr>
            <w:tcW w:w="810" w:type="dxa"/>
            <w:hideMark/>
          </w:tcPr>
          <w:p w:rsidR="00143793" w:rsidRPr="004F411B" w:rsidRDefault="00143793" w:rsidP="004F41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2006-2007</w:t>
            </w:r>
          </w:p>
        </w:tc>
        <w:tc>
          <w:tcPr>
            <w:tcW w:w="810" w:type="dxa"/>
            <w:hideMark/>
          </w:tcPr>
          <w:p w:rsidR="00143793" w:rsidRPr="004F411B" w:rsidRDefault="00143793" w:rsidP="004F41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2007-2008</w:t>
            </w:r>
          </w:p>
        </w:tc>
        <w:tc>
          <w:tcPr>
            <w:tcW w:w="810" w:type="dxa"/>
            <w:hideMark/>
          </w:tcPr>
          <w:p w:rsidR="00143793" w:rsidRPr="004F411B" w:rsidRDefault="00143793" w:rsidP="004F41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2008-2009</w:t>
            </w:r>
          </w:p>
        </w:tc>
        <w:tc>
          <w:tcPr>
            <w:tcW w:w="810" w:type="dxa"/>
            <w:hideMark/>
          </w:tcPr>
          <w:p w:rsidR="00143793" w:rsidRPr="004F411B" w:rsidRDefault="00143793" w:rsidP="004F41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2009-2010</w:t>
            </w:r>
          </w:p>
        </w:tc>
        <w:tc>
          <w:tcPr>
            <w:tcW w:w="810" w:type="dxa"/>
            <w:hideMark/>
          </w:tcPr>
          <w:p w:rsidR="00143793" w:rsidRPr="004F411B" w:rsidRDefault="00143793" w:rsidP="004F41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2010-2011</w:t>
            </w:r>
          </w:p>
        </w:tc>
        <w:tc>
          <w:tcPr>
            <w:tcW w:w="810" w:type="dxa"/>
            <w:hideMark/>
          </w:tcPr>
          <w:p w:rsidR="00143793" w:rsidRPr="004F411B" w:rsidRDefault="00143793" w:rsidP="004F41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2011-2012</w:t>
            </w:r>
          </w:p>
        </w:tc>
        <w:tc>
          <w:tcPr>
            <w:tcW w:w="810" w:type="dxa"/>
            <w:hideMark/>
          </w:tcPr>
          <w:p w:rsidR="00143793" w:rsidRPr="004F411B" w:rsidRDefault="00143793" w:rsidP="004F41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2012-2013</w:t>
            </w:r>
          </w:p>
        </w:tc>
        <w:tc>
          <w:tcPr>
            <w:tcW w:w="810" w:type="dxa"/>
            <w:hideMark/>
          </w:tcPr>
          <w:p w:rsidR="00143793" w:rsidRPr="004F411B" w:rsidRDefault="00143793" w:rsidP="004F41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2013-2014</w:t>
            </w:r>
          </w:p>
        </w:tc>
        <w:tc>
          <w:tcPr>
            <w:tcW w:w="810" w:type="dxa"/>
            <w:hideMark/>
          </w:tcPr>
          <w:p w:rsidR="00143793" w:rsidRPr="004F411B" w:rsidRDefault="00143793" w:rsidP="004F41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2014-2015</w:t>
            </w:r>
          </w:p>
        </w:tc>
      </w:tr>
      <w:tr w:rsidR="004C01C4" w:rsidRPr="004F411B" w:rsidTr="004C01C4">
        <w:trPr>
          <w:trHeight w:val="315"/>
        </w:trPr>
        <w:tc>
          <w:tcPr>
            <w:cnfStyle w:val="001000000000" w:firstRow="0" w:lastRow="0" w:firstColumn="1" w:lastColumn="0" w:oddVBand="0" w:evenVBand="0" w:oddHBand="0" w:evenHBand="0" w:firstRowFirstColumn="0" w:firstRowLastColumn="0" w:lastRowFirstColumn="0" w:lastRowLastColumn="0"/>
            <w:tcW w:w="1530" w:type="dxa"/>
            <w:vMerge w:val="restart"/>
            <w:vAlign w:val="center"/>
          </w:tcPr>
          <w:p w:rsidR="00143793" w:rsidRPr="004F411B" w:rsidRDefault="00143793" w:rsidP="00143793">
            <w:pPr>
              <w:jc w:val="center"/>
              <w:rPr>
                <w:rFonts w:ascii="Calibri" w:eastAsia="Times New Roman" w:hAnsi="Calibri" w:cs="Times New Roman"/>
                <w:color w:val="000000"/>
              </w:rPr>
            </w:pPr>
            <w:r>
              <w:rPr>
                <w:rFonts w:ascii="Calibri" w:eastAsia="Times New Roman" w:hAnsi="Calibri" w:cs="Times New Roman"/>
                <w:color w:val="000000"/>
              </w:rPr>
              <w:t>Summary Measures</w:t>
            </w:r>
          </w:p>
        </w:tc>
        <w:tc>
          <w:tcPr>
            <w:tcW w:w="810" w:type="dxa"/>
            <w:hideMark/>
          </w:tcPr>
          <w:p w:rsidR="00143793" w:rsidRPr="004F411B" w:rsidRDefault="00143793" w:rsidP="001127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F411B">
              <w:rPr>
                <w:rFonts w:ascii="Calibri" w:eastAsia="Times New Roman" w:hAnsi="Calibri" w:cs="Times New Roman"/>
                <w:color w:val="000000"/>
              </w:rPr>
              <w:t>Gini</w:t>
            </w:r>
          </w:p>
        </w:tc>
        <w:tc>
          <w:tcPr>
            <w:tcW w:w="810" w:type="dxa"/>
            <w:hideMark/>
          </w:tcPr>
          <w:p w:rsidR="00143793" w:rsidRPr="00A25899"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vertAlign w:val="superscript"/>
              </w:rPr>
            </w:pPr>
            <w:r w:rsidRPr="004F411B">
              <w:rPr>
                <w:rFonts w:ascii="Calibri" w:eastAsia="Times New Roman" w:hAnsi="Calibri" w:cs="Times New Roman"/>
                <w:b/>
                <w:bCs/>
                <w:color w:val="000000"/>
              </w:rPr>
              <w:t>+</w:t>
            </w:r>
            <w:r w:rsidR="00D2740B">
              <w:rPr>
                <w:rFonts w:ascii="Calibri" w:eastAsia="Times New Roman" w:hAnsi="Calibri" w:cs="Times New Roman"/>
                <w:b/>
                <w:bCs/>
                <w:color w:val="000000"/>
              </w:rPr>
              <w:t xml:space="preserve"> </w:t>
            </w:r>
            <w:r w:rsidR="00A25899">
              <w:rPr>
                <w:rFonts w:ascii="Calibri" w:eastAsia="Times New Roman" w:hAnsi="Calibri" w:cs="Times New Roman"/>
                <w:b/>
                <w:bCs/>
                <w:color w:val="000000"/>
                <w:vertAlign w:val="superscript"/>
              </w:rPr>
              <w:t>3</w:t>
            </w:r>
          </w:p>
        </w:tc>
        <w:tc>
          <w:tcPr>
            <w:tcW w:w="810" w:type="dxa"/>
            <w:hideMark/>
          </w:tcPr>
          <w:p w:rsidR="00143793" w:rsidRPr="00A25899"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vertAlign w:val="superscript"/>
              </w:rPr>
            </w:pPr>
            <w:r w:rsidRPr="004F411B">
              <w:rPr>
                <w:rFonts w:ascii="Calibri" w:eastAsia="Times New Roman" w:hAnsi="Calibri" w:cs="Times New Roman"/>
                <w:b/>
                <w:bCs/>
                <w:color w:val="000000"/>
              </w:rPr>
              <w:t>-</w:t>
            </w:r>
            <w:r w:rsidR="00A25899">
              <w:rPr>
                <w:rFonts w:ascii="Calibri" w:eastAsia="Times New Roman" w:hAnsi="Calibri" w:cs="Times New Roman"/>
                <w:b/>
                <w:bCs/>
                <w:color w:val="000000"/>
              </w:rPr>
              <w:t xml:space="preserve"> </w:t>
            </w:r>
            <w:r w:rsidR="00A25899">
              <w:rPr>
                <w:rFonts w:ascii="Calibri" w:eastAsia="Times New Roman" w:hAnsi="Calibri" w:cs="Times New Roman"/>
                <w:b/>
                <w:bCs/>
                <w:color w:val="000000"/>
                <w:vertAlign w:val="superscript"/>
              </w:rPr>
              <w:t>1</w:t>
            </w:r>
          </w:p>
        </w:tc>
        <w:tc>
          <w:tcPr>
            <w:tcW w:w="810" w:type="dxa"/>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D2740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vertAlign w:val="superscript"/>
              </w:rPr>
            </w:pPr>
            <w:r w:rsidRPr="004F411B">
              <w:rPr>
                <w:rFonts w:ascii="Calibri" w:eastAsia="Times New Roman" w:hAnsi="Calibri" w:cs="Times New Roman"/>
                <w:b/>
                <w:bCs/>
                <w:color w:val="000000"/>
              </w:rPr>
              <w:t>-</w:t>
            </w:r>
            <w:r w:rsidR="00D2740B">
              <w:rPr>
                <w:rFonts w:ascii="Calibri" w:eastAsia="Times New Roman" w:hAnsi="Calibri" w:cs="Times New Roman"/>
                <w:b/>
                <w:bCs/>
                <w:color w:val="000000"/>
              </w:rPr>
              <w:t xml:space="preserve"> </w:t>
            </w:r>
            <w:r w:rsidR="00D2740B">
              <w:rPr>
                <w:rFonts w:ascii="Calibri" w:eastAsia="Times New Roman" w:hAnsi="Calibri" w:cs="Times New Roman"/>
                <w:b/>
                <w:bCs/>
                <w:color w:val="000000"/>
                <w:vertAlign w:val="superscript"/>
              </w:rPr>
              <w:t>1</w:t>
            </w:r>
          </w:p>
        </w:tc>
        <w:tc>
          <w:tcPr>
            <w:tcW w:w="810" w:type="dxa"/>
            <w:hideMark/>
          </w:tcPr>
          <w:p w:rsidR="00143793" w:rsidRPr="00A25899"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vertAlign w:val="superscript"/>
              </w:rPr>
            </w:pPr>
            <w:r w:rsidRPr="004F411B">
              <w:rPr>
                <w:rFonts w:ascii="Calibri" w:eastAsia="Times New Roman" w:hAnsi="Calibri" w:cs="Times New Roman"/>
                <w:b/>
                <w:bCs/>
                <w:color w:val="000000"/>
              </w:rPr>
              <w:t>+</w:t>
            </w:r>
            <w:r w:rsidR="00A25899">
              <w:rPr>
                <w:rFonts w:ascii="Calibri" w:eastAsia="Times New Roman" w:hAnsi="Calibri" w:cs="Times New Roman"/>
                <w:b/>
                <w:bCs/>
                <w:color w:val="000000"/>
              </w:rPr>
              <w:t xml:space="preserve"> </w:t>
            </w:r>
            <w:r w:rsidR="00A25899">
              <w:rPr>
                <w:rFonts w:ascii="Calibri" w:eastAsia="Times New Roman" w:hAnsi="Calibri" w:cs="Times New Roman"/>
                <w:b/>
                <w:bCs/>
                <w:color w:val="000000"/>
                <w:vertAlign w:val="superscript"/>
              </w:rPr>
              <w:t>2</w:t>
            </w:r>
          </w:p>
        </w:tc>
        <w:tc>
          <w:tcPr>
            <w:tcW w:w="810" w:type="dxa"/>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p>
        </w:tc>
        <w:tc>
          <w:tcPr>
            <w:tcW w:w="810" w:type="dxa"/>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r>
      <w:tr w:rsidR="004C01C4" w:rsidRPr="004F411B" w:rsidTr="004C01C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30" w:type="dxa"/>
            <w:vMerge/>
          </w:tcPr>
          <w:p w:rsidR="00143793" w:rsidRPr="004F411B" w:rsidRDefault="00143793" w:rsidP="001127B3">
            <w:pPr>
              <w:rPr>
                <w:rFonts w:ascii="Calibri" w:eastAsia="Times New Roman" w:hAnsi="Calibri" w:cs="Times New Roman"/>
                <w:color w:val="000000"/>
              </w:rPr>
            </w:pPr>
          </w:p>
        </w:tc>
        <w:tc>
          <w:tcPr>
            <w:tcW w:w="810" w:type="dxa"/>
            <w:hideMark/>
          </w:tcPr>
          <w:p w:rsidR="00143793" w:rsidRPr="004F411B" w:rsidRDefault="00143793" w:rsidP="001127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F411B">
              <w:rPr>
                <w:rFonts w:ascii="Calibri" w:eastAsia="Times New Roman" w:hAnsi="Calibri" w:cs="Times New Roman"/>
                <w:color w:val="000000"/>
              </w:rPr>
              <w:t>Theil</w:t>
            </w:r>
          </w:p>
        </w:tc>
        <w:tc>
          <w:tcPr>
            <w:tcW w:w="810" w:type="dxa"/>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 </w:t>
            </w:r>
          </w:p>
        </w:tc>
        <w:tc>
          <w:tcPr>
            <w:tcW w:w="810" w:type="dxa"/>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D2740B"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1</w:t>
            </w:r>
          </w:p>
        </w:tc>
        <w:tc>
          <w:tcPr>
            <w:tcW w:w="810" w:type="dxa"/>
            <w:hideMark/>
          </w:tcPr>
          <w:p w:rsidR="00143793" w:rsidRPr="004F411B" w:rsidRDefault="00D2740B"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2</w:t>
            </w:r>
          </w:p>
        </w:tc>
        <w:tc>
          <w:tcPr>
            <w:tcW w:w="810" w:type="dxa"/>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 </w:t>
            </w:r>
          </w:p>
        </w:tc>
        <w:tc>
          <w:tcPr>
            <w:tcW w:w="810" w:type="dxa"/>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r>
      <w:tr w:rsidR="004C01C4" w:rsidRPr="004F411B" w:rsidTr="004C01C4">
        <w:trPr>
          <w:trHeight w:val="315"/>
        </w:trPr>
        <w:tc>
          <w:tcPr>
            <w:cnfStyle w:val="001000000000" w:firstRow="0" w:lastRow="0" w:firstColumn="1" w:lastColumn="0" w:oddVBand="0" w:evenVBand="0" w:oddHBand="0" w:evenHBand="0" w:firstRowFirstColumn="0" w:firstRowLastColumn="0" w:lastRowFirstColumn="0" w:lastRowLastColumn="0"/>
            <w:tcW w:w="1530" w:type="dxa"/>
            <w:vMerge/>
            <w:tcBorders>
              <w:bottom w:val="single" w:sz="4" w:space="0" w:color="auto"/>
            </w:tcBorders>
          </w:tcPr>
          <w:p w:rsidR="00143793" w:rsidRPr="004F411B" w:rsidRDefault="00143793" w:rsidP="001127B3">
            <w:pPr>
              <w:rPr>
                <w:rFonts w:ascii="Calibri" w:eastAsia="Times New Roman" w:hAnsi="Calibri" w:cs="Times New Roman"/>
                <w:color w:val="000000"/>
              </w:rPr>
            </w:pPr>
          </w:p>
        </w:tc>
        <w:tc>
          <w:tcPr>
            <w:tcW w:w="810" w:type="dxa"/>
            <w:tcBorders>
              <w:bottom w:val="single" w:sz="4" w:space="0" w:color="auto"/>
            </w:tcBorders>
            <w:hideMark/>
          </w:tcPr>
          <w:p w:rsidR="00143793" w:rsidRPr="004F411B" w:rsidRDefault="00143793" w:rsidP="001127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F411B">
              <w:rPr>
                <w:rFonts w:ascii="Calibri" w:eastAsia="Times New Roman" w:hAnsi="Calibri" w:cs="Times New Roman"/>
                <w:color w:val="000000"/>
              </w:rPr>
              <w:t>MLD</w:t>
            </w:r>
          </w:p>
        </w:tc>
        <w:tc>
          <w:tcPr>
            <w:tcW w:w="810" w:type="dxa"/>
            <w:tcBorders>
              <w:bottom w:val="single" w:sz="4" w:space="0" w:color="auto"/>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bottom w:val="single" w:sz="4" w:space="0" w:color="auto"/>
            </w:tcBorders>
            <w:hideMark/>
          </w:tcPr>
          <w:p w:rsidR="00143793" w:rsidRPr="00A25899"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vertAlign w:val="superscript"/>
              </w:rPr>
            </w:pPr>
            <w:r w:rsidRPr="004F411B">
              <w:rPr>
                <w:rFonts w:ascii="Calibri" w:eastAsia="Times New Roman" w:hAnsi="Calibri" w:cs="Times New Roman"/>
                <w:b/>
                <w:bCs/>
                <w:color w:val="000000"/>
              </w:rPr>
              <w:t>+</w:t>
            </w:r>
            <w:r w:rsidR="00D2740B">
              <w:rPr>
                <w:rFonts w:ascii="Calibri" w:eastAsia="Times New Roman" w:hAnsi="Calibri" w:cs="Times New Roman"/>
                <w:b/>
                <w:bCs/>
                <w:color w:val="000000"/>
              </w:rPr>
              <w:t xml:space="preserve"> </w:t>
            </w:r>
            <w:r w:rsidR="00A25899">
              <w:rPr>
                <w:rFonts w:ascii="Calibri" w:eastAsia="Times New Roman" w:hAnsi="Calibri" w:cs="Times New Roman"/>
                <w:b/>
                <w:bCs/>
                <w:color w:val="000000"/>
                <w:vertAlign w:val="superscript"/>
              </w:rPr>
              <w:t>3</w:t>
            </w:r>
          </w:p>
        </w:tc>
        <w:tc>
          <w:tcPr>
            <w:tcW w:w="810" w:type="dxa"/>
            <w:tcBorders>
              <w:bottom w:val="single" w:sz="4" w:space="0" w:color="auto"/>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bottom w:val="single" w:sz="4" w:space="0" w:color="auto"/>
            </w:tcBorders>
            <w:hideMark/>
          </w:tcPr>
          <w:p w:rsidR="00143793" w:rsidRPr="004F411B" w:rsidRDefault="00D2740B"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1</w:t>
            </w:r>
          </w:p>
        </w:tc>
        <w:tc>
          <w:tcPr>
            <w:tcW w:w="810" w:type="dxa"/>
            <w:tcBorders>
              <w:bottom w:val="single" w:sz="4" w:space="0" w:color="auto"/>
            </w:tcBorders>
            <w:hideMark/>
          </w:tcPr>
          <w:p w:rsidR="00143793" w:rsidRPr="004F411B" w:rsidRDefault="00D2740B"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2</w:t>
            </w:r>
          </w:p>
        </w:tc>
        <w:tc>
          <w:tcPr>
            <w:tcW w:w="810" w:type="dxa"/>
            <w:tcBorders>
              <w:bottom w:val="single" w:sz="4" w:space="0" w:color="auto"/>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bottom w:val="single" w:sz="4" w:space="0" w:color="auto"/>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 </w:t>
            </w:r>
          </w:p>
        </w:tc>
        <w:tc>
          <w:tcPr>
            <w:tcW w:w="810" w:type="dxa"/>
            <w:tcBorders>
              <w:bottom w:val="single" w:sz="4" w:space="0" w:color="auto"/>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bottom w:val="single" w:sz="4" w:space="0" w:color="auto"/>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bottom w:val="single" w:sz="4" w:space="0" w:color="auto"/>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r>
      <w:tr w:rsidR="004C01C4" w:rsidRPr="004F411B" w:rsidTr="004C01C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30" w:type="dxa"/>
            <w:vMerge w:val="restart"/>
            <w:tcBorders>
              <w:top w:val="single" w:sz="4" w:space="0" w:color="auto"/>
            </w:tcBorders>
            <w:vAlign w:val="center"/>
          </w:tcPr>
          <w:p w:rsidR="00143793" w:rsidRPr="004F411B" w:rsidRDefault="00143793" w:rsidP="00143793">
            <w:pPr>
              <w:jc w:val="center"/>
              <w:rPr>
                <w:rFonts w:ascii="Calibri" w:eastAsia="Times New Roman" w:hAnsi="Calibri" w:cs="Times New Roman"/>
                <w:color w:val="000000"/>
              </w:rPr>
            </w:pPr>
            <w:r>
              <w:rPr>
                <w:rFonts w:ascii="Calibri" w:eastAsia="Times New Roman" w:hAnsi="Calibri" w:cs="Times New Roman"/>
                <w:color w:val="000000"/>
              </w:rPr>
              <w:t>Distribution- wide Income Ratios</w:t>
            </w:r>
          </w:p>
        </w:tc>
        <w:tc>
          <w:tcPr>
            <w:tcW w:w="810" w:type="dxa"/>
            <w:tcBorders>
              <w:top w:val="single" w:sz="4" w:space="0" w:color="auto"/>
              <w:bottom w:val="nil"/>
            </w:tcBorders>
            <w:hideMark/>
          </w:tcPr>
          <w:p w:rsidR="00143793" w:rsidRPr="004F411B" w:rsidRDefault="00143793" w:rsidP="001127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F411B">
              <w:rPr>
                <w:rFonts w:ascii="Calibri" w:eastAsia="Times New Roman" w:hAnsi="Calibri" w:cs="Times New Roman"/>
                <w:color w:val="000000"/>
              </w:rPr>
              <w:t>80-20</w:t>
            </w:r>
          </w:p>
        </w:tc>
        <w:tc>
          <w:tcPr>
            <w:tcW w:w="810" w:type="dxa"/>
            <w:tcBorders>
              <w:top w:val="single" w:sz="4" w:space="0" w:color="auto"/>
              <w:bottom w:val="nil"/>
            </w:tcBorders>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single" w:sz="4" w:space="0" w:color="auto"/>
              <w:bottom w:val="nil"/>
            </w:tcBorders>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single" w:sz="4" w:space="0" w:color="auto"/>
              <w:bottom w:val="nil"/>
            </w:tcBorders>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single" w:sz="4" w:space="0" w:color="auto"/>
              <w:bottom w:val="nil"/>
            </w:tcBorders>
            <w:hideMark/>
          </w:tcPr>
          <w:p w:rsidR="00143793" w:rsidRPr="004F411B" w:rsidRDefault="00D2740B"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1</w:t>
            </w:r>
          </w:p>
        </w:tc>
        <w:tc>
          <w:tcPr>
            <w:tcW w:w="810" w:type="dxa"/>
            <w:tcBorders>
              <w:top w:val="single" w:sz="4" w:space="0" w:color="auto"/>
              <w:bottom w:val="nil"/>
            </w:tcBorders>
            <w:hideMark/>
          </w:tcPr>
          <w:p w:rsidR="00143793" w:rsidRPr="004F411B" w:rsidRDefault="00D2740B"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2</w:t>
            </w:r>
          </w:p>
        </w:tc>
        <w:tc>
          <w:tcPr>
            <w:tcW w:w="810" w:type="dxa"/>
            <w:tcBorders>
              <w:top w:val="single" w:sz="4" w:space="0" w:color="auto"/>
              <w:bottom w:val="nil"/>
            </w:tcBorders>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single" w:sz="4" w:space="0" w:color="auto"/>
              <w:bottom w:val="nil"/>
            </w:tcBorders>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single" w:sz="4" w:space="0" w:color="auto"/>
              <w:bottom w:val="nil"/>
            </w:tcBorders>
            <w:hideMark/>
          </w:tcPr>
          <w:p w:rsidR="00143793" w:rsidRPr="004F411B" w:rsidRDefault="001F2E95"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1</w:t>
            </w:r>
          </w:p>
        </w:tc>
        <w:tc>
          <w:tcPr>
            <w:tcW w:w="810" w:type="dxa"/>
            <w:tcBorders>
              <w:top w:val="single" w:sz="4" w:space="0" w:color="auto"/>
              <w:bottom w:val="nil"/>
            </w:tcBorders>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single" w:sz="4" w:space="0" w:color="auto"/>
              <w:bottom w:val="nil"/>
            </w:tcBorders>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r>
      <w:tr w:rsidR="004C01C4" w:rsidRPr="004F411B" w:rsidTr="004C01C4">
        <w:trPr>
          <w:trHeight w:val="315"/>
        </w:trPr>
        <w:tc>
          <w:tcPr>
            <w:cnfStyle w:val="001000000000" w:firstRow="0" w:lastRow="0" w:firstColumn="1" w:lastColumn="0" w:oddVBand="0" w:evenVBand="0" w:oddHBand="0" w:evenHBand="0" w:firstRowFirstColumn="0" w:firstRowLastColumn="0" w:lastRowFirstColumn="0" w:lastRowLastColumn="0"/>
            <w:tcW w:w="1530" w:type="dxa"/>
            <w:vMerge/>
          </w:tcPr>
          <w:p w:rsidR="00143793" w:rsidRPr="004F411B" w:rsidRDefault="00143793" w:rsidP="001127B3">
            <w:pPr>
              <w:rPr>
                <w:rFonts w:ascii="Calibri" w:eastAsia="Times New Roman" w:hAnsi="Calibri" w:cs="Times New Roman"/>
                <w:color w:val="000000"/>
              </w:rPr>
            </w:pPr>
          </w:p>
        </w:tc>
        <w:tc>
          <w:tcPr>
            <w:tcW w:w="810" w:type="dxa"/>
            <w:tcBorders>
              <w:top w:val="nil"/>
              <w:bottom w:val="nil"/>
            </w:tcBorders>
            <w:hideMark/>
          </w:tcPr>
          <w:p w:rsidR="00143793" w:rsidRPr="004F411B" w:rsidRDefault="00143793" w:rsidP="001127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F411B">
              <w:rPr>
                <w:rFonts w:ascii="Calibri" w:eastAsia="Times New Roman" w:hAnsi="Calibri" w:cs="Times New Roman"/>
                <w:color w:val="000000"/>
              </w:rPr>
              <w:t>Palma</w:t>
            </w:r>
          </w:p>
        </w:tc>
        <w:tc>
          <w:tcPr>
            <w:tcW w:w="810" w:type="dxa"/>
            <w:tcBorders>
              <w:top w:val="nil"/>
              <w:bottom w:val="nil"/>
            </w:tcBorders>
            <w:hideMark/>
          </w:tcPr>
          <w:p w:rsidR="00143793" w:rsidRPr="00A25899" w:rsidRDefault="00D32911" w:rsidP="00D3291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vertAlign w:val="superscript"/>
              </w:rPr>
            </w:pPr>
            <w:r>
              <w:rPr>
                <w:rFonts w:ascii="Calibri" w:eastAsia="Times New Roman" w:hAnsi="Calibri" w:cs="Times New Roman"/>
                <w:b/>
                <w:bCs/>
                <w:color w:val="000000"/>
                <w:vertAlign w:val="superscript"/>
              </w:rPr>
              <w:t xml:space="preserve">      </w:t>
            </w:r>
            <w:r w:rsidR="00A25899">
              <w:rPr>
                <w:rFonts w:ascii="Calibri" w:eastAsia="Times New Roman" w:hAnsi="Calibri" w:cs="Times New Roman"/>
                <w:b/>
                <w:bCs/>
                <w:color w:val="000000"/>
                <w:vertAlign w:val="superscript"/>
              </w:rPr>
              <w:t>2</w:t>
            </w:r>
          </w:p>
        </w:tc>
        <w:tc>
          <w:tcPr>
            <w:tcW w:w="810" w:type="dxa"/>
            <w:tcBorders>
              <w:top w:val="nil"/>
              <w:bottom w:val="nil"/>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nil"/>
              <w:bottom w:val="nil"/>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nil"/>
              <w:bottom w:val="nil"/>
            </w:tcBorders>
            <w:hideMark/>
          </w:tcPr>
          <w:p w:rsidR="00143793" w:rsidRPr="004F411B" w:rsidRDefault="00D2740B"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1</w:t>
            </w:r>
          </w:p>
        </w:tc>
        <w:tc>
          <w:tcPr>
            <w:tcW w:w="810" w:type="dxa"/>
            <w:tcBorders>
              <w:top w:val="nil"/>
              <w:bottom w:val="nil"/>
            </w:tcBorders>
            <w:hideMark/>
          </w:tcPr>
          <w:p w:rsidR="00143793" w:rsidRPr="004F411B" w:rsidRDefault="00D2740B"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Pr>
                <w:rFonts w:ascii="Calibri" w:eastAsia="Times New Roman" w:hAnsi="Calibri" w:cs="Times New Roman"/>
                <w:b/>
                <w:bCs/>
                <w:color w:val="000000"/>
              </w:rPr>
              <w:t xml:space="preserve"> </w:t>
            </w:r>
            <w:r w:rsidRPr="004F411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2</w:t>
            </w:r>
          </w:p>
        </w:tc>
        <w:tc>
          <w:tcPr>
            <w:tcW w:w="810" w:type="dxa"/>
            <w:tcBorders>
              <w:top w:val="nil"/>
              <w:bottom w:val="nil"/>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nil"/>
              <w:bottom w:val="nil"/>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 </w:t>
            </w:r>
          </w:p>
        </w:tc>
        <w:tc>
          <w:tcPr>
            <w:tcW w:w="810" w:type="dxa"/>
            <w:tcBorders>
              <w:top w:val="nil"/>
              <w:bottom w:val="nil"/>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nil"/>
              <w:bottom w:val="nil"/>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nil"/>
              <w:bottom w:val="nil"/>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r>
      <w:tr w:rsidR="004C01C4" w:rsidRPr="004F411B" w:rsidTr="004C01C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30" w:type="dxa"/>
            <w:vMerge/>
            <w:tcBorders>
              <w:bottom w:val="single" w:sz="4" w:space="0" w:color="auto"/>
            </w:tcBorders>
          </w:tcPr>
          <w:p w:rsidR="00143793" w:rsidRPr="004F411B" w:rsidRDefault="00143793" w:rsidP="001127B3">
            <w:pPr>
              <w:rPr>
                <w:rFonts w:ascii="Calibri" w:eastAsia="Times New Roman" w:hAnsi="Calibri" w:cs="Times New Roman"/>
                <w:color w:val="000000"/>
              </w:rPr>
            </w:pPr>
          </w:p>
        </w:tc>
        <w:tc>
          <w:tcPr>
            <w:tcW w:w="810" w:type="dxa"/>
            <w:tcBorders>
              <w:top w:val="nil"/>
              <w:bottom w:val="single" w:sz="4" w:space="0" w:color="auto"/>
            </w:tcBorders>
            <w:hideMark/>
          </w:tcPr>
          <w:p w:rsidR="00143793" w:rsidRPr="004F411B" w:rsidRDefault="00143793" w:rsidP="001127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F411B">
              <w:rPr>
                <w:rFonts w:ascii="Calibri" w:eastAsia="Times New Roman" w:hAnsi="Calibri" w:cs="Times New Roman"/>
                <w:color w:val="000000"/>
              </w:rPr>
              <w:t>90-10</w:t>
            </w:r>
          </w:p>
        </w:tc>
        <w:tc>
          <w:tcPr>
            <w:tcW w:w="810" w:type="dxa"/>
            <w:tcBorders>
              <w:top w:val="nil"/>
              <w:bottom w:val="single" w:sz="4" w:space="0" w:color="auto"/>
            </w:tcBorders>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nil"/>
              <w:bottom w:val="single" w:sz="4" w:space="0" w:color="auto"/>
            </w:tcBorders>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nil"/>
              <w:bottom w:val="single" w:sz="4" w:space="0" w:color="auto"/>
            </w:tcBorders>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nil"/>
              <w:bottom w:val="single" w:sz="4" w:space="0" w:color="auto"/>
            </w:tcBorders>
            <w:hideMark/>
          </w:tcPr>
          <w:p w:rsidR="00143793" w:rsidRPr="004F411B" w:rsidRDefault="00D2740B"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1</w:t>
            </w:r>
          </w:p>
        </w:tc>
        <w:tc>
          <w:tcPr>
            <w:tcW w:w="810" w:type="dxa"/>
            <w:tcBorders>
              <w:top w:val="nil"/>
              <w:bottom w:val="single" w:sz="4" w:space="0" w:color="auto"/>
            </w:tcBorders>
            <w:hideMark/>
          </w:tcPr>
          <w:p w:rsidR="00143793" w:rsidRPr="004F411B" w:rsidRDefault="00D2740B"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2</w:t>
            </w:r>
          </w:p>
        </w:tc>
        <w:tc>
          <w:tcPr>
            <w:tcW w:w="810" w:type="dxa"/>
            <w:tcBorders>
              <w:top w:val="nil"/>
              <w:bottom w:val="single" w:sz="4" w:space="0" w:color="auto"/>
            </w:tcBorders>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nil"/>
              <w:bottom w:val="single" w:sz="4" w:space="0" w:color="auto"/>
            </w:tcBorders>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nil"/>
              <w:bottom w:val="single" w:sz="4" w:space="0" w:color="auto"/>
            </w:tcBorders>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nil"/>
              <w:bottom w:val="single" w:sz="4" w:space="0" w:color="auto"/>
            </w:tcBorders>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nil"/>
              <w:bottom w:val="single" w:sz="4" w:space="0" w:color="auto"/>
            </w:tcBorders>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r>
      <w:tr w:rsidR="004C01C4" w:rsidRPr="004F411B" w:rsidTr="004C01C4">
        <w:trPr>
          <w:trHeight w:val="315"/>
        </w:trPr>
        <w:tc>
          <w:tcPr>
            <w:cnfStyle w:val="001000000000" w:firstRow="0" w:lastRow="0" w:firstColumn="1" w:lastColumn="0" w:oddVBand="0" w:evenVBand="0" w:oddHBand="0" w:evenHBand="0" w:firstRowFirstColumn="0" w:firstRowLastColumn="0" w:lastRowFirstColumn="0" w:lastRowLastColumn="0"/>
            <w:tcW w:w="1530" w:type="dxa"/>
            <w:vMerge w:val="restart"/>
            <w:tcBorders>
              <w:top w:val="single" w:sz="4" w:space="0" w:color="auto"/>
            </w:tcBorders>
            <w:vAlign w:val="center"/>
          </w:tcPr>
          <w:p w:rsidR="00143793" w:rsidRPr="004F411B" w:rsidRDefault="00143793" w:rsidP="00143793">
            <w:pPr>
              <w:jc w:val="center"/>
              <w:rPr>
                <w:rFonts w:ascii="Calibri" w:eastAsia="Times New Roman" w:hAnsi="Calibri" w:cs="Times New Roman"/>
                <w:color w:val="000000"/>
              </w:rPr>
            </w:pPr>
            <w:r>
              <w:rPr>
                <w:rFonts w:ascii="Calibri" w:eastAsia="Times New Roman" w:hAnsi="Calibri" w:cs="Times New Roman"/>
                <w:color w:val="000000"/>
              </w:rPr>
              <w:t>Non-overlapping Income Ratios</w:t>
            </w:r>
          </w:p>
        </w:tc>
        <w:tc>
          <w:tcPr>
            <w:tcW w:w="810" w:type="dxa"/>
            <w:tcBorders>
              <w:top w:val="single" w:sz="4" w:space="0" w:color="auto"/>
            </w:tcBorders>
            <w:hideMark/>
          </w:tcPr>
          <w:p w:rsidR="00143793" w:rsidRPr="004F411B" w:rsidRDefault="00143793" w:rsidP="001127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F411B">
              <w:rPr>
                <w:rFonts w:ascii="Calibri" w:eastAsia="Times New Roman" w:hAnsi="Calibri" w:cs="Times New Roman"/>
                <w:color w:val="000000"/>
              </w:rPr>
              <w:t>50-10</w:t>
            </w:r>
          </w:p>
        </w:tc>
        <w:tc>
          <w:tcPr>
            <w:tcW w:w="810" w:type="dxa"/>
            <w:tcBorders>
              <w:top w:val="single" w:sz="4" w:space="0" w:color="auto"/>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single" w:sz="4" w:space="0" w:color="auto"/>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single" w:sz="4" w:space="0" w:color="auto"/>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single" w:sz="4" w:space="0" w:color="auto"/>
            </w:tcBorders>
            <w:hideMark/>
          </w:tcPr>
          <w:p w:rsidR="00143793" w:rsidRPr="004F411B" w:rsidRDefault="00D2740B"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1</w:t>
            </w:r>
          </w:p>
        </w:tc>
        <w:tc>
          <w:tcPr>
            <w:tcW w:w="810" w:type="dxa"/>
            <w:tcBorders>
              <w:top w:val="single" w:sz="4" w:space="0" w:color="auto"/>
            </w:tcBorders>
            <w:hideMark/>
          </w:tcPr>
          <w:p w:rsidR="00143793" w:rsidRPr="004F411B" w:rsidRDefault="00D2740B"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2</w:t>
            </w:r>
          </w:p>
        </w:tc>
        <w:tc>
          <w:tcPr>
            <w:tcW w:w="810" w:type="dxa"/>
            <w:tcBorders>
              <w:top w:val="single" w:sz="4" w:space="0" w:color="auto"/>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single" w:sz="4" w:space="0" w:color="auto"/>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single" w:sz="4" w:space="0" w:color="auto"/>
            </w:tcBorders>
            <w:hideMark/>
          </w:tcPr>
          <w:p w:rsidR="00143793" w:rsidRPr="004F411B" w:rsidRDefault="001F2E95"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1</w:t>
            </w:r>
          </w:p>
        </w:tc>
        <w:tc>
          <w:tcPr>
            <w:tcW w:w="810" w:type="dxa"/>
            <w:tcBorders>
              <w:top w:val="single" w:sz="4" w:space="0" w:color="auto"/>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tcBorders>
              <w:top w:val="single" w:sz="4" w:space="0" w:color="auto"/>
            </w:tcBorders>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r>
      <w:tr w:rsidR="004C01C4" w:rsidRPr="004F411B" w:rsidTr="004C01C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30" w:type="dxa"/>
            <w:vMerge/>
          </w:tcPr>
          <w:p w:rsidR="00143793" w:rsidRPr="004F411B" w:rsidRDefault="00143793" w:rsidP="001127B3">
            <w:pPr>
              <w:rPr>
                <w:rFonts w:ascii="Calibri" w:eastAsia="Times New Roman" w:hAnsi="Calibri" w:cs="Times New Roman"/>
                <w:color w:val="000000"/>
              </w:rPr>
            </w:pPr>
          </w:p>
        </w:tc>
        <w:tc>
          <w:tcPr>
            <w:tcW w:w="810" w:type="dxa"/>
            <w:hideMark/>
          </w:tcPr>
          <w:p w:rsidR="00143793" w:rsidRPr="004F411B" w:rsidRDefault="00143793" w:rsidP="001127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F411B">
              <w:rPr>
                <w:rFonts w:ascii="Calibri" w:eastAsia="Times New Roman" w:hAnsi="Calibri" w:cs="Times New Roman"/>
                <w:color w:val="000000"/>
              </w:rPr>
              <w:t>90-50</w:t>
            </w:r>
          </w:p>
        </w:tc>
        <w:tc>
          <w:tcPr>
            <w:tcW w:w="810" w:type="dxa"/>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D2740B"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1</w:t>
            </w:r>
          </w:p>
        </w:tc>
        <w:tc>
          <w:tcPr>
            <w:tcW w:w="810" w:type="dxa"/>
            <w:hideMark/>
          </w:tcPr>
          <w:p w:rsidR="00143793" w:rsidRPr="004F411B" w:rsidRDefault="00D2740B"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2</w:t>
            </w:r>
          </w:p>
        </w:tc>
        <w:tc>
          <w:tcPr>
            <w:tcW w:w="810" w:type="dxa"/>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1F2E95" w:rsidRDefault="001F2E95" w:rsidP="001F2E9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1</w:t>
            </w:r>
          </w:p>
        </w:tc>
        <w:tc>
          <w:tcPr>
            <w:tcW w:w="810" w:type="dxa"/>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r>
      <w:tr w:rsidR="004C01C4" w:rsidRPr="004F411B" w:rsidTr="004C01C4">
        <w:trPr>
          <w:trHeight w:val="315"/>
        </w:trPr>
        <w:tc>
          <w:tcPr>
            <w:cnfStyle w:val="001000000000" w:firstRow="0" w:lastRow="0" w:firstColumn="1" w:lastColumn="0" w:oddVBand="0" w:evenVBand="0" w:oddHBand="0" w:evenHBand="0" w:firstRowFirstColumn="0" w:firstRowLastColumn="0" w:lastRowFirstColumn="0" w:lastRowLastColumn="0"/>
            <w:tcW w:w="1530" w:type="dxa"/>
            <w:vMerge/>
          </w:tcPr>
          <w:p w:rsidR="00143793" w:rsidRPr="004F411B" w:rsidRDefault="00143793" w:rsidP="001127B3">
            <w:pPr>
              <w:rPr>
                <w:rFonts w:ascii="Calibri" w:eastAsia="Times New Roman" w:hAnsi="Calibri" w:cs="Times New Roman"/>
                <w:color w:val="000000"/>
              </w:rPr>
            </w:pPr>
          </w:p>
        </w:tc>
        <w:tc>
          <w:tcPr>
            <w:tcW w:w="810" w:type="dxa"/>
            <w:hideMark/>
          </w:tcPr>
          <w:p w:rsidR="00143793" w:rsidRPr="004F411B" w:rsidRDefault="00143793" w:rsidP="001127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F411B">
              <w:rPr>
                <w:rFonts w:ascii="Calibri" w:eastAsia="Times New Roman" w:hAnsi="Calibri" w:cs="Times New Roman"/>
                <w:color w:val="000000"/>
              </w:rPr>
              <w:t>99-90</w:t>
            </w:r>
          </w:p>
        </w:tc>
        <w:tc>
          <w:tcPr>
            <w:tcW w:w="810" w:type="dxa"/>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c>
          <w:tcPr>
            <w:tcW w:w="810" w:type="dxa"/>
            <w:hideMark/>
          </w:tcPr>
          <w:p w:rsidR="00143793" w:rsidRPr="004F411B" w:rsidRDefault="00143793" w:rsidP="001127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4F411B">
              <w:rPr>
                <w:rFonts w:ascii="Calibri" w:eastAsia="Times New Roman" w:hAnsi="Calibri" w:cs="Times New Roman"/>
                <w:b/>
                <w:bCs/>
                <w:color w:val="000000"/>
              </w:rPr>
              <w:t>+</w:t>
            </w:r>
          </w:p>
        </w:tc>
      </w:tr>
      <w:tr w:rsidR="00A25899" w:rsidRPr="004F411B" w:rsidTr="004C01C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40" w:type="dxa"/>
            <w:gridSpan w:val="12"/>
          </w:tcPr>
          <w:p w:rsidR="00A25899" w:rsidRDefault="006F20B4" w:rsidP="001127B3">
            <w:pPr>
              <w:rPr>
                <w:sz w:val="18"/>
                <w:szCs w:val="18"/>
              </w:rPr>
            </w:pPr>
            <w:r>
              <w:rPr>
                <w:sz w:val="18"/>
                <w:szCs w:val="18"/>
              </w:rPr>
              <w:t xml:space="preserve">Source: 2005 through </w:t>
            </w:r>
            <w:r w:rsidR="00A25899">
              <w:rPr>
                <w:sz w:val="18"/>
                <w:szCs w:val="18"/>
              </w:rPr>
              <w:t>2015 American Community Survey. For more information on the ACS, see census.gov/</w:t>
            </w:r>
            <w:proofErr w:type="spellStart"/>
            <w:r w:rsidR="00A25899">
              <w:rPr>
                <w:sz w:val="18"/>
                <w:szCs w:val="18"/>
              </w:rPr>
              <w:t>acs</w:t>
            </w:r>
            <w:proofErr w:type="spellEnd"/>
            <w:r w:rsidR="00A25899">
              <w:rPr>
                <w:sz w:val="18"/>
                <w:szCs w:val="18"/>
              </w:rPr>
              <w:t>.</w:t>
            </w:r>
          </w:p>
          <w:p w:rsidR="00A25899" w:rsidRDefault="00A25899" w:rsidP="001127B3">
            <w:pPr>
              <w:rPr>
                <w:sz w:val="18"/>
                <w:szCs w:val="18"/>
              </w:rPr>
            </w:pPr>
            <w:r>
              <w:rPr>
                <w:sz w:val="18"/>
                <w:szCs w:val="18"/>
                <w:vertAlign w:val="superscript"/>
              </w:rPr>
              <w:t>1</w:t>
            </w:r>
            <w:r>
              <w:rPr>
                <w:sz w:val="18"/>
                <w:szCs w:val="18"/>
              </w:rPr>
              <w:t xml:space="preserve"> Change is positive for pre-tax, pre-transfer household income inequality</w:t>
            </w:r>
          </w:p>
          <w:p w:rsidR="00A25899" w:rsidRDefault="00A25899" w:rsidP="00A25899">
            <w:pPr>
              <w:rPr>
                <w:sz w:val="18"/>
                <w:szCs w:val="18"/>
              </w:rPr>
            </w:pPr>
            <w:r>
              <w:rPr>
                <w:sz w:val="18"/>
                <w:szCs w:val="18"/>
                <w:vertAlign w:val="superscript"/>
              </w:rPr>
              <w:t>2</w:t>
            </w:r>
            <w:r>
              <w:rPr>
                <w:sz w:val="18"/>
                <w:szCs w:val="18"/>
              </w:rPr>
              <w:t xml:space="preserve"> Change is negative for pre-tax, pre-transfer household income inequality</w:t>
            </w:r>
          </w:p>
          <w:p w:rsidR="00A25899" w:rsidRPr="00A25899" w:rsidRDefault="00A25899" w:rsidP="001127B3">
            <w:pPr>
              <w:rPr>
                <w:sz w:val="18"/>
                <w:szCs w:val="18"/>
              </w:rPr>
            </w:pPr>
            <w:r>
              <w:rPr>
                <w:sz w:val="18"/>
                <w:szCs w:val="18"/>
                <w:vertAlign w:val="superscript"/>
              </w:rPr>
              <w:t>3</w:t>
            </w:r>
            <w:r>
              <w:rPr>
                <w:sz w:val="18"/>
                <w:szCs w:val="18"/>
              </w:rPr>
              <w:t xml:space="preserve"> No significant change for pre-tax, pre-transfer household income inequality</w:t>
            </w:r>
          </w:p>
        </w:tc>
      </w:tr>
    </w:tbl>
    <w:p w:rsidR="00323FA3" w:rsidRDefault="007A7CC9" w:rsidP="00C325BC">
      <w:pPr>
        <w:spacing w:line="360" w:lineRule="auto"/>
      </w:pPr>
      <w:r>
        <w:tab/>
      </w:r>
    </w:p>
    <w:p w:rsidR="00A25899" w:rsidRPr="00A25899" w:rsidRDefault="00C325BC" w:rsidP="00A25899">
      <w:pPr>
        <w:pStyle w:val="ListParagraph"/>
        <w:numPr>
          <w:ilvl w:val="0"/>
          <w:numId w:val="11"/>
        </w:numPr>
        <w:spacing w:line="360" w:lineRule="auto"/>
        <w:rPr>
          <w:b/>
        </w:rPr>
      </w:pPr>
      <w:r>
        <w:rPr>
          <w:b/>
        </w:rPr>
        <w:t>Distribution-wide Income Ratios</w:t>
      </w:r>
    </w:p>
    <w:p w:rsidR="006A2249" w:rsidRDefault="00D37EB2" w:rsidP="00DE3E5E">
      <w:pPr>
        <w:spacing w:line="360" w:lineRule="auto"/>
        <w:ind w:firstLine="720"/>
      </w:pPr>
      <w:r>
        <w:t xml:space="preserve">Similar to the summary measures, the </w:t>
      </w:r>
      <w:r w:rsidR="00C325BC">
        <w:t>distribution-wide income ratios</w:t>
      </w:r>
      <w:r>
        <w:t xml:space="preserve"> each show an overall increase in income inequality from 2005 to 2015,</w:t>
      </w:r>
      <w:r w:rsidR="00764389">
        <w:t xml:space="preserve"> but income inequality decreased</w:t>
      </w:r>
      <w:r>
        <w:t xml:space="preserve"> during certain years.</w:t>
      </w:r>
      <w:r w:rsidR="00DE3E5E">
        <w:t xml:space="preserve">  I</w:t>
      </w:r>
      <w:r>
        <w:t>ncome inequality decrease</w:t>
      </w:r>
      <w:r w:rsidR="00764389">
        <w:t>d</w:t>
      </w:r>
      <w:r>
        <w:t xml:space="preserve"> for all three income ratios from 2008 to 2009 and from 2013 to 2014.  From 2005 to 2007, income inequality decreased for the 80-20 rati</w:t>
      </w:r>
      <w:r w:rsidR="00C325BC">
        <w:t>o and the 90-10 ratio, but the P</w:t>
      </w:r>
      <w:r>
        <w:t>alma ratio show</w:t>
      </w:r>
      <w:r w:rsidR="00764389">
        <w:t>ed</w:t>
      </w:r>
      <w:r>
        <w:t xml:space="preserve"> no significant change in income inequality from 2005 to 2006 and an increase in income inequality from 2006 to 2</w:t>
      </w:r>
      <w:r w:rsidR="00764389">
        <w:t>007.  The 80-20 ratio also showed</w:t>
      </w:r>
      <w:r>
        <w:t xml:space="preserve"> a decrease in income inequality from 2011 to 2013, while the other two ratios show</w:t>
      </w:r>
      <w:r w:rsidR="00764389">
        <w:t>ed</w:t>
      </w:r>
      <w:r>
        <w:t xml:space="preserve"> no significant change or an increase in income</w:t>
      </w:r>
      <w:r w:rsidR="006A2249">
        <w:t xml:space="preserve"> inequality during these years.</w:t>
      </w:r>
    </w:p>
    <w:p w:rsidR="00AF7366" w:rsidRPr="00C325BC" w:rsidRDefault="00C325BC" w:rsidP="00C325BC">
      <w:pPr>
        <w:pStyle w:val="ListParagraph"/>
        <w:numPr>
          <w:ilvl w:val="0"/>
          <w:numId w:val="11"/>
        </w:numPr>
        <w:spacing w:line="360" w:lineRule="auto"/>
        <w:rPr>
          <w:b/>
        </w:rPr>
      </w:pPr>
      <w:r>
        <w:rPr>
          <w:b/>
        </w:rPr>
        <w:t xml:space="preserve"> Non-overlapping Income Ratios</w:t>
      </w:r>
    </w:p>
    <w:p w:rsidR="00750C12" w:rsidRDefault="008F404E" w:rsidP="00DE3E5E">
      <w:pPr>
        <w:spacing w:line="360" w:lineRule="auto"/>
        <w:ind w:firstLine="720"/>
      </w:pPr>
      <w:r>
        <w:t>Since these ratios measure different parts of the income distribution, it may not be surprising that there are more differences among the</w:t>
      </w:r>
      <w:r w:rsidR="00654A7B">
        <w:t>se</w:t>
      </w:r>
      <w:r>
        <w:t xml:space="preserve"> ratios </w:t>
      </w:r>
      <w:r w:rsidR="00654A7B">
        <w:t>than among the summary measures or distribution-wide income ratios</w:t>
      </w:r>
      <w:r>
        <w:t>.</w:t>
      </w:r>
      <w:r w:rsidR="00DE3E5E">
        <w:t xml:space="preserve">  </w:t>
      </w:r>
      <w:r>
        <w:t>All three ratios show</w:t>
      </w:r>
      <w:r w:rsidR="0095214A">
        <w:t>ed</w:t>
      </w:r>
      <w:r>
        <w:t xml:space="preserve"> increases in income inequality from 2007 to 2008, 2010 to 2011, and 2014 to 2015 and all three show</w:t>
      </w:r>
      <w:r w:rsidR="0095214A">
        <w:t>ed</w:t>
      </w:r>
      <w:r>
        <w:t xml:space="preserve"> decreases in income inequality from 2008 to 2009 and 2013 to 2014.  </w:t>
      </w:r>
      <w:r w:rsidR="002551C2">
        <w:t xml:space="preserve">In the remaining years, income inequality changed in different directions at different </w:t>
      </w:r>
      <w:r w:rsidR="002551C2">
        <w:lastRenderedPageBreak/>
        <w:t>parts of the distribution.  From 20</w:t>
      </w:r>
      <w:r w:rsidR="000E44DF">
        <w:t>06 to 2007 and 2012 to 2013,</w:t>
      </w:r>
      <w:r w:rsidR="002551C2">
        <w:t xml:space="preserve"> income inequality increased in the top half of the distribution (90-50 ratio and 99-90 ratio) and decreased in the bottom half of the distribution (50-10 ratio).  From 2005 to 2006 and from 2009 to 2010, income inequality in the top of the distribution (99-90 ratio) changed in a different direction from income inequality in the rest of the distribution (90-50 ratio and 50-10 ratio).  From 2011 to 2012, income inequality in the top half of the distribution (90-50 ratio)</w:t>
      </w:r>
      <w:r w:rsidR="007E6142">
        <w:t xml:space="preserve"> decreased while income inequality in the bottom half of the distribution (50-10 ratio) increased.</w:t>
      </w:r>
    </w:p>
    <w:p w:rsidR="00C36226" w:rsidRDefault="00654A7B" w:rsidP="00C36226">
      <w:pPr>
        <w:pStyle w:val="ListParagraph"/>
        <w:numPr>
          <w:ilvl w:val="0"/>
          <w:numId w:val="11"/>
        </w:numPr>
        <w:spacing w:line="360" w:lineRule="auto"/>
        <w:rPr>
          <w:b/>
        </w:rPr>
      </w:pPr>
      <w:r w:rsidRPr="00654A7B">
        <w:rPr>
          <w:b/>
        </w:rPr>
        <w:t>Household Income Shares</w:t>
      </w:r>
    </w:p>
    <w:p w:rsidR="001E6E6B" w:rsidRPr="00506AC6" w:rsidRDefault="00502A72" w:rsidP="00506AC6">
      <w:pPr>
        <w:spacing w:line="360" w:lineRule="auto"/>
        <w:ind w:firstLine="360"/>
        <w:rPr>
          <w:b/>
        </w:rPr>
      </w:pPr>
      <w:r>
        <w:t>In Table 9</w:t>
      </w:r>
      <w:r w:rsidR="00323FA3">
        <w:t xml:space="preserve">, </w:t>
      </w:r>
      <w:r w:rsidR="000E44DF">
        <w:t>I</w:t>
      </w:r>
      <w:r w:rsidR="007E6142">
        <w:t xml:space="preserve"> present the income shares for each quintile as well as the income share for the top one percent.</w:t>
      </w:r>
      <w:r>
        <w:t xml:space="preserve">  In Table 7</w:t>
      </w:r>
      <w:r w:rsidR="000E44DF">
        <w:t>, I</w:t>
      </w:r>
      <w:r w:rsidR="0053342B">
        <w:t xml:space="preserve"> showed that the overall percentage change in income shares from 2005 to 20</w:t>
      </w:r>
      <w:r w:rsidR="00075A47">
        <w:t>15 was negative for the bottom three</w:t>
      </w:r>
      <w:r w:rsidR="0053342B">
        <w:t xml:space="preserve"> quintiles</w:t>
      </w:r>
      <w:r w:rsidR="00075A47">
        <w:t xml:space="preserve"> and there was no significant change in income share for the fourth quintile</w:t>
      </w:r>
      <w:r w:rsidR="00506AC6">
        <w:t>.  However, t</w:t>
      </w:r>
      <w:r w:rsidR="001E6E6B">
        <w:t xml:space="preserve">he income share of households in the </w:t>
      </w:r>
      <w:r w:rsidR="000D164A">
        <w:t>bottom</w:t>
      </w:r>
      <w:r w:rsidR="001E6E6B">
        <w:t xml:space="preserve"> quintile increased from 2005 to 2006, 2008 to 2009, and 2013 to 2014.</w:t>
      </w:r>
      <w:r w:rsidR="00506AC6">
        <w:rPr>
          <w:b/>
        </w:rPr>
        <w:t xml:space="preserve">  </w:t>
      </w:r>
      <w:r w:rsidR="001E6E6B">
        <w:t>The income share of households in the second and third quintiles increased from 2008 to 2009 and 2013 to 2014.</w:t>
      </w:r>
      <w:r w:rsidR="00506AC6">
        <w:rPr>
          <w:b/>
        </w:rPr>
        <w:t xml:space="preserve">  </w:t>
      </w:r>
      <w:r w:rsidR="00506AC6" w:rsidRPr="00506AC6">
        <w:t>Finally, t</w:t>
      </w:r>
      <w:r w:rsidR="001E6E6B" w:rsidRPr="00506AC6">
        <w:t>he income</w:t>
      </w:r>
      <w:r w:rsidR="001E6E6B">
        <w:t xml:space="preserve"> share of households in the fourth quintile increased from 2008 to 2010.</w:t>
      </w:r>
    </w:p>
    <w:p w:rsidR="00506AC6" w:rsidRDefault="00502A72" w:rsidP="00DE3E5E">
      <w:pPr>
        <w:spacing w:line="360" w:lineRule="auto"/>
        <w:ind w:firstLine="720"/>
      </w:pPr>
      <w:r>
        <w:t>Table 7</w:t>
      </w:r>
      <w:r w:rsidR="001E6E6B">
        <w:t xml:space="preserve"> also showed that the overall percentage change in income shares was</w:t>
      </w:r>
      <w:r w:rsidR="0053342B">
        <w:t xml:space="preserve"> positive for the top quintile and for the top one percent.</w:t>
      </w:r>
      <w:r w:rsidR="00506AC6">
        <w:t xml:space="preserve">  However, t</w:t>
      </w:r>
      <w:r w:rsidR="000D164A">
        <w:t>he income share of households in the top quintile decreased from 2008 to 2009 and 2013 to 2014.</w:t>
      </w:r>
      <w:r w:rsidR="00506AC6">
        <w:t xml:space="preserve">  </w:t>
      </w:r>
      <w:r w:rsidR="000D164A">
        <w:t xml:space="preserve">The income share of households in the top one percent </w:t>
      </w:r>
      <w:r w:rsidR="0095214A">
        <w:t xml:space="preserve">decreased </w:t>
      </w:r>
      <w:r w:rsidR="000D164A">
        <w:t>from 2008 to 2009 and 2013 to 2014.</w:t>
      </w:r>
    </w:p>
    <w:tbl>
      <w:tblPr>
        <w:tblStyle w:val="LightShading-Accent1"/>
        <w:tblW w:w="8340" w:type="dxa"/>
        <w:tblInd w:w="517" w:type="dxa"/>
        <w:tblLook w:val="04A0" w:firstRow="1" w:lastRow="0" w:firstColumn="1" w:lastColumn="0" w:noHBand="0" w:noVBand="1"/>
      </w:tblPr>
      <w:tblGrid>
        <w:gridCol w:w="1040"/>
        <w:gridCol w:w="730"/>
        <w:gridCol w:w="730"/>
        <w:gridCol w:w="730"/>
        <w:gridCol w:w="730"/>
        <w:gridCol w:w="730"/>
        <w:gridCol w:w="730"/>
        <w:gridCol w:w="730"/>
        <w:gridCol w:w="730"/>
        <w:gridCol w:w="730"/>
        <w:gridCol w:w="730"/>
      </w:tblGrid>
      <w:tr w:rsidR="00654A7B" w:rsidRPr="00654A7B" w:rsidTr="00654A7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40" w:type="dxa"/>
            <w:gridSpan w:val="11"/>
            <w:hideMark/>
          </w:tcPr>
          <w:p w:rsidR="00654A7B" w:rsidRPr="00654A7B" w:rsidRDefault="00502A72" w:rsidP="00654A7B">
            <w:pPr>
              <w:jc w:val="center"/>
              <w:rPr>
                <w:rFonts w:ascii="Calibri" w:eastAsia="Times New Roman" w:hAnsi="Calibri" w:cs="Times New Roman"/>
                <w:color w:val="000000"/>
              </w:rPr>
            </w:pPr>
            <w:r>
              <w:rPr>
                <w:rFonts w:ascii="Calibri" w:eastAsia="Times New Roman" w:hAnsi="Calibri" w:cs="Times New Roman"/>
                <w:color w:val="000000"/>
              </w:rPr>
              <w:t>Table 9</w:t>
            </w:r>
            <w:r w:rsidR="00654A7B">
              <w:rPr>
                <w:rFonts w:ascii="Calibri" w:eastAsia="Times New Roman" w:hAnsi="Calibri" w:cs="Times New Roman"/>
                <w:color w:val="000000"/>
              </w:rPr>
              <w:t>: Changes in After-tax, After-transfer Household Income Shares</w:t>
            </w:r>
          </w:p>
        </w:tc>
      </w:tr>
      <w:tr w:rsidR="00654A7B" w:rsidRPr="00654A7B" w:rsidTr="00654A7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40" w:type="dxa"/>
            <w:hideMark/>
          </w:tcPr>
          <w:p w:rsidR="00654A7B" w:rsidRPr="00654A7B" w:rsidRDefault="00654A7B" w:rsidP="00654A7B">
            <w:pPr>
              <w:rPr>
                <w:rFonts w:ascii="Calibri" w:eastAsia="Times New Roman" w:hAnsi="Calibri" w:cs="Times New Roman"/>
                <w:color w:val="000000"/>
              </w:rPr>
            </w:pPr>
            <w:r w:rsidRPr="00654A7B">
              <w:rPr>
                <w:rFonts w:ascii="Calibri" w:eastAsia="Times New Roman" w:hAnsi="Calibri" w:cs="Times New Roman"/>
                <w:color w:val="000000"/>
              </w:rPr>
              <w:t>Quintiles</w:t>
            </w:r>
          </w:p>
        </w:tc>
        <w:tc>
          <w:tcPr>
            <w:tcW w:w="730" w:type="dxa"/>
            <w:hideMark/>
          </w:tcPr>
          <w:p w:rsidR="00654A7B" w:rsidRPr="00654A7B" w:rsidRDefault="00654A7B" w:rsidP="00654A7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2005-2006</w:t>
            </w:r>
          </w:p>
        </w:tc>
        <w:tc>
          <w:tcPr>
            <w:tcW w:w="730" w:type="dxa"/>
            <w:hideMark/>
          </w:tcPr>
          <w:p w:rsidR="00654A7B" w:rsidRPr="00654A7B" w:rsidRDefault="00654A7B" w:rsidP="00654A7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2006-2007</w:t>
            </w:r>
          </w:p>
        </w:tc>
        <w:tc>
          <w:tcPr>
            <w:tcW w:w="730" w:type="dxa"/>
            <w:hideMark/>
          </w:tcPr>
          <w:p w:rsidR="00654A7B" w:rsidRPr="00654A7B" w:rsidRDefault="00654A7B" w:rsidP="00654A7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2007-2008</w:t>
            </w:r>
          </w:p>
        </w:tc>
        <w:tc>
          <w:tcPr>
            <w:tcW w:w="730" w:type="dxa"/>
            <w:hideMark/>
          </w:tcPr>
          <w:p w:rsidR="00654A7B" w:rsidRPr="00654A7B" w:rsidRDefault="00654A7B" w:rsidP="00654A7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2008-2009</w:t>
            </w:r>
          </w:p>
        </w:tc>
        <w:tc>
          <w:tcPr>
            <w:tcW w:w="730" w:type="dxa"/>
            <w:hideMark/>
          </w:tcPr>
          <w:p w:rsidR="00654A7B" w:rsidRPr="00654A7B" w:rsidRDefault="00654A7B" w:rsidP="00654A7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2009-2010</w:t>
            </w:r>
          </w:p>
        </w:tc>
        <w:tc>
          <w:tcPr>
            <w:tcW w:w="730" w:type="dxa"/>
            <w:hideMark/>
          </w:tcPr>
          <w:p w:rsidR="00654A7B" w:rsidRPr="00654A7B" w:rsidRDefault="00654A7B" w:rsidP="00654A7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2010-2011</w:t>
            </w:r>
          </w:p>
        </w:tc>
        <w:tc>
          <w:tcPr>
            <w:tcW w:w="730" w:type="dxa"/>
            <w:hideMark/>
          </w:tcPr>
          <w:p w:rsidR="00654A7B" w:rsidRPr="00654A7B" w:rsidRDefault="00654A7B" w:rsidP="00654A7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2011-2012</w:t>
            </w:r>
          </w:p>
        </w:tc>
        <w:tc>
          <w:tcPr>
            <w:tcW w:w="730" w:type="dxa"/>
            <w:hideMark/>
          </w:tcPr>
          <w:p w:rsidR="00654A7B" w:rsidRPr="00654A7B" w:rsidRDefault="00654A7B" w:rsidP="00654A7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2012-2013</w:t>
            </w:r>
          </w:p>
        </w:tc>
        <w:tc>
          <w:tcPr>
            <w:tcW w:w="730" w:type="dxa"/>
            <w:hideMark/>
          </w:tcPr>
          <w:p w:rsidR="00654A7B" w:rsidRPr="00654A7B" w:rsidRDefault="00654A7B" w:rsidP="00654A7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2013-2014</w:t>
            </w:r>
          </w:p>
        </w:tc>
        <w:tc>
          <w:tcPr>
            <w:tcW w:w="730" w:type="dxa"/>
            <w:hideMark/>
          </w:tcPr>
          <w:p w:rsidR="00654A7B" w:rsidRPr="00654A7B" w:rsidRDefault="00654A7B" w:rsidP="00654A7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2014-2015</w:t>
            </w:r>
          </w:p>
        </w:tc>
      </w:tr>
      <w:tr w:rsidR="00654A7B" w:rsidRPr="00654A7B" w:rsidTr="00654A7B">
        <w:trPr>
          <w:trHeight w:val="315"/>
        </w:trPr>
        <w:tc>
          <w:tcPr>
            <w:cnfStyle w:val="001000000000" w:firstRow="0" w:lastRow="0" w:firstColumn="1" w:lastColumn="0" w:oddVBand="0" w:evenVBand="0" w:oddHBand="0" w:evenHBand="0" w:firstRowFirstColumn="0" w:firstRowLastColumn="0" w:lastRowFirstColumn="0" w:lastRowLastColumn="0"/>
            <w:tcW w:w="1040" w:type="dxa"/>
            <w:hideMark/>
          </w:tcPr>
          <w:p w:rsidR="00654A7B" w:rsidRPr="00654A7B" w:rsidRDefault="00654A7B" w:rsidP="00654A7B">
            <w:pPr>
              <w:rPr>
                <w:rFonts w:ascii="Calibri" w:eastAsia="Times New Roman" w:hAnsi="Calibri" w:cs="Times New Roman"/>
                <w:color w:val="000000"/>
              </w:rPr>
            </w:pPr>
            <w:r w:rsidRPr="00654A7B">
              <w:rPr>
                <w:rFonts w:ascii="Calibri" w:eastAsia="Times New Roman" w:hAnsi="Calibri" w:cs="Times New Roman"/>
                <w:color w:val="000000"/>
              </w:rPr>
              <w:t xml:space="preserve">   First</w:t>
            </w:r>
          </w:p>
        </w:tc>
        <w:tc>
          <w:tcPr>
            <w:tcW w:w="730" w:type="dxa"/>
            <w:hideMark/>
          </w:tcPr>
          <w:p w:rsidR="00654A7B" w:rsidRPr="00654A7B" w:rsidRDefault="00654A7B"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c>
          <w:tcPr>
            <w:tcW w:w="730" w:type="dxa"/>
            <w:hideMark/>
          </w:tcPr>
          <w:p w:rsidR="00654A7B" w:rsidRPr="009D4968" w:rsidRDefault="00654A7B"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vertAlign w:val="superscript"/>
              </w:rPr>
            </w:pPr>
            <w:r w:rsidRPr="00654A7B">
              <w:rPr>
                <w:rFonts w:ascii="Calibri" w:eastAsia="Times New Roman" w:hAnsi="Calibri" w:cs="Times New Roman"/>
                <w:b/>
                <w:bCs/>
                <w:color w:val="000000"/>
              </w:rPr>
              <w:t> </w:t>
            </w:r>
            <w:r w:rsidR="009D4968">
              <w:rPr>
                <w:rFonts w:ascii="Calibri" w:eastAsia="Times New Roman" w:hAnsi="Calibri" w:cs="Times New Roman"/>
                <w:b/>
                <w:bCs/>
                <w:color w:val="000000"/>
              </w:rPr>
              <w:t xml:space="preserve">   </w:t>
            </w:r>
            <w:r w:rsidR="009D4968">
              <w:rPr>
                <w:rFonts w:ascii="Calibri" w:eastAsia="Times New Roman" w:hAnsi="Calibri" w:cs="Times New Roman"/>
                <w:b/>
                <w:bCs/>
                <w:color w:val="000000"/>
                <w:vertAlign w:val="superscript"/>
              </w:rPr>
              <w:t>2</w:t>
            </w:r>
          </w:p>
        </w:tc>
        <w:tc>
          <w:tcPr>
            <w:tcW w:w="730" w:type="dxa"/>
            <w:hideMark/>
          </w:tcPr>
          <w:p w:rsidR="00654A7B" w:rsidRPr="00654A7B" w:rsidRDefault="00654A7B"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c>
          <w:tcPr>
            <w:tcW w:w="730" w:type="dxa"/>
            <w:hideMark/>
          </w:tcPr>
          <w:p w:rsidR="00654A7B" w:rsidRPr="009D4968" w:rsidRDefault="00FB6D46"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vertAlign w:val="superscript"/>
              </w:rPr>
            </w:pPr>
            <w:r>
              <w:rPr>
                <w:rFonts w:ascii="Calibri" w:eastAsia="Times New Roman" w:hAnsi="Calibri" w:cs="Times New Roman"/>
                <w:b/>
                <w:bCs/>
                <w:color w:val="000000"/>
              </w:rPr>
              <w:t xml:space="preserve">  </w:t>
            </w:r>
            <w:r w:rsidR="00654A7B" w:rsidRPr="00654A7B">
              <w:rPr>
                <w:rFonts w:ascii="Calibri" w:eastAsia="Times New Roman" w:hAnsi="Calibri" w:cs="Times New Roman"/>
                <w:b/>
                <w:bCs/>
                <w:color w:val="000000"/>
              </w:rPr>
              <w:t>+</w:t>
            </w:r>
            <w:r w:rsidR="009D4968">
              <w:rPr>
                <w:rFonts w:ascii="Calibri" w:eastAsia="Times New Roman" w:hAnsi="Calibri" w:cs="Times New Roman"/>
                <w:b/>
                <w:bCs/>
                <w:color w:val="000000"/>
              </w:rPr>
              <w:t xml:space="preserve"> </w:t>
            </w:r>
            <w:r w:rsidR="009D4968">
              <w:rPr>
                <w:rFonts w:ascii="Calibri" w:eastAsia="Times New Roman" w:hAnsi="Calibri" w:cs="Times New Roman"/>
                <w:b/>
                <w:bCs/>
                <w:color w:val="000000"/>
                <w:vertAlign w:val="superscript"/>
              </w:rPr>
              <w:t>2</w:t>
            </w:r>
          </w:p>
        </w:tc>
        <w:tc>
          <w:tcPr>
            <w:tcW w:w="730" w:type="dxa"/>
            <w:hideMark/>
          </w:tcPr>
          <w:p w:rsidR="00654A7B" w:rsidRPr="00654A7B" w:rsidRDefault="002D7EE0"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1</w:t>
            </w:r>
          </w:p>
        </w:tc>
        <w:tc>
          <w:tcPr>
            <w:tcW w:w="730" w:type="dxa"/>
            <w:hideMark/>
          </w:tcPr>
          <w:p w:rsidR="00654A7B" w:rsidRPr="00654A7B" w:rsidRDefault="00654A7B"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c>
          <w:tcPr>
            <w:tcW w:w="730" w:type="dxa"/>
            <w:hideMark/>
          </w:tcPr>
          <w:p w:rsidR="00654A7B" w:rsidRPr="002D7EE0" w:rsidRDefault="00654A7B"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vertAlign w:val="superscript"/>
              </w:rPr>
            </w:pPr>
            <w:r w:rsidRPr="00654A7B">
              <w:rPr>
                <w:rFonts w:ascii="Calibri" w:eastAsia="Times New Roman" w:hAnsi="Calibri" w:cs="Times New Roman"/>
                <w:b/>
                <w:bCs/>
                <w:color w:val="000000"/>
              </w:rPr>
              <w:t> </w:t>
            </w:r>
            <w:r w:rsidR="002D7EE0">
              <w:rPr>
                <w:rFonts w:ascii="Calibri" w:eastAsia="Times New Roman" w:hAnsi="Calibri" w:cs="Times New Roman"/>
                <w:b/>
                <w:bCs/>
                <w:color w:val="000000"/>
              </w:rPr>
              <w:t xml:space="preserve">   </w:t>
            </w:r>
            <w:r w:rsidR="002D7EE0">
              <w:rPr>
                <w:rFonts w:ascii="Calibri" w:eastAsia="Times New Roman" w:hAnsi="Calibri" w:cs="Times New Roman"/>
                <w:b/>
                <w:bCs/>
                <w:color w:val="000000"/>
                <w:vertAlign w:val="superscript"/>
              </w:rPr>
              <w:t>2</w:t>
            </w:r>
          </w:p>
        </w:tc>
        <w:tc>
          <w:tcPr>
            <w:tcW w:w="730" w:type="dxa"/>
            <w:hideMark/>
          </w:tcPr>
          <w:p w:rsidR="00654A7B" w:rsidRPr="002D7EE0" w:rsidRDefault="00654A7B"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vertAlign w:val="superscript"/>
              </w:rPr>
            </w:pPr>
            <w:r w:rsidRPr="00654A7B">
              <w:rPr>
                <w:rFonts w:ascii="Calibri" w:eastAsia="Times New Roman" w:hAnsi="Calibri" w:cs="Times New Roman"/>
                <w:b/>
                <w:bCs/>
                <w:color w:val="000000"/>
              </w:rPr>
              <w:t> </w:t>
            </w:r>
            <w:r w:rsidR="002D7EE0">
              <w:rPr>
                <w:rFonts w:ascii="Calibri" w:eastAsia="Times New Roman" w:hAnsi="Calibri" w:cs="Times New Roman"/>
                <w:b/>
                <w:bCs/>
                <w:color w:val="000000"/>
                <w:vertAlign w:val="superscript"/>
              </w:rPr>
              <w:t xml:space="preserve">   2</w:t>
            </w:r>
          </w:p>
        </w:tc>
        <w:tc>
          <w:tcPr>
            <w:tcW w:w="730" w:type="dxa"/>
            <w:hideMark/>
          </w:tcPr>
          <w:p w:rsidR="00654A7B" w:rsidRPr="00654A7B" w:rsidRDefault="00654A7B"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c>
          <w:tcPr>
            <w:tcW w:w="730" w:type="dxa"/>
            <w:hideMark/>
          </w:tcPr>
          <w:p w:rsidR="00654A7B" w:rsidRPr="00654A7B" w:rsidRDefault="00654A7B"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r>
      <w:tr w:rsidR="00654A7B" w:rsidRPr="00654A7B" w:rsidTr="00654A7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0" w:type="dxa"/>
            <w:hideMark/>
          </w:tcPr>
          <w:p w:rsidR="00654A7B" w:rsidRPr="00654A7B" w:rsidRDefault="00654A7B" w:rsidP="00654A7B">
            <w:pPr>
              <w:rPr>
                <w:rFonts w:ascii="Calibri" w:eastAsia="Times New Roman" w:hAnsi="Calibri" w:cs="Times New Roman"/>
                <w:color w:val="000000"/>
              </w:rPr>
            </w:pPr>
            <w:r w:rsidRPr="00654A7B">
              <w:rPr>
                <w:rFonts w:ascii="Calibri" w:eastAsia="Times New Roman" w:hAnsi="Calibri" w:cs="Times New Roman"/>
                <w:color w:val="000000"/>
              </w:rPr>
              <w:t xml:space="preserve">   Second</w:t>
            </w:r>
          </w:p>
        </w:tc>
        <w:tc>
          <w:tcPr>
            <w:tcW w:w="730" w:type="dxa"/>
            <w:hideMark/>
          </w:tcPr>
          <w:p w:rsidR="00654A7B" w:rsidRPr="00654A7B"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 </w:t>
            </w:r>
          </w:p>
        </w:tc>
        <w:tc>
          <w:tcPr>
            <w:tcW w:w="730" w:type="dxa"/>
            <w:hideMark/>
          </w:tcPr>
          <w:p w:rsidR="00654A7B" w:rsidRPr="009D4968" w:rsidRDefault="00FB6D46"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vertAlign w:val="superscript"/>
              </w:rPr>
            </w:pPr>
            <w:r>
              <w:rPr>
                <w:rFonts w:ascii="Calibri" w:eastAsia="Times New Roman" w:hAnsi="Calibri" w:cs="Times New Roman"/>
                <w:b/>
                <w:bCs/>
                <w:color w:val="000000"/>
              </w:rPr>
              <w:t xml:space="preserve"> </w:t>
            </w:r>
            <w:r w:rsidR="00654A7B" w:rsidRPr="00654A7B">
              <w:rPr>
                <w:rFonts w:ascii="Calibri" w:eastAsia="Times New Roman" w:hAnsi="Calibri" w:cs="Times New Roman"/>
                <w:b/>
                <w:bCs/>
                <w:color w:val="000000"/>
              </w:rPr>
              <w:t>-</w:t>
            </w:r>
            <w:r w:rsidR="009D4968">
              <w:rPr>
                <w:rFonts w:ascii="Calibri" w:eastAsia="Times New Roman" w:hAnsi="Calibri" w:cs="Times New Roman"/>
                <w:b/>
                <w:bCs/>
                <w:color w:val="000000"/>
              </w:rPr>
              <w:t xml:space="preserve"> </w:t>
            </w:r>
            <w:r w:rsidR="009D4968">
              <w:rPr>
                <w:rFonts w:ascii="Calibri" w:eastAsia="Times New Roman" w:hAnsi="Calibri" w:cs="Times New Roman"/>
                <w:b/>
                <w:bCs/>
                <w:color w:val="000000"/>
                <w:vertAlign w:val="superscript"/>
              </w:rPr>
              <w:t>3</w:t>
            </w:r>
          </w:p>
        </w:tc>
        <w:tc>
          <w:tcPr>
            <w:tcW w:w="730" w:type="dxa"/>
            <w:hideMark/>
          </w:tcPr>
          <w:p w:rsidR="00654A7B" w:rsidRPr="00654A7B"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c>
          <w:tcPr>
            <w:tcW w:w="730" w:type="dxa"/>
            <w:hideMark/>
          </w:tcPr>
          <w:p w:rsidR="00654A7B" w:rsidRPr="009D4968" w:rsidRDefault="00FB6D46"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vertAlign w:val="superscript"/>
              </w:rPr>
            </w:pPr>
            <w:r>
              <w:rPr>
                <w:rFonts w:ascii="Calibri" w:eastAsia="Times New Roman" w:hAnsi="Calibri" w:cs="Times New Roman"/>
                <w:b/>
                <w:bCs/>
                <w:color w:val="000000"/>
              </w:rPr>
              <w:t xml:space="preserve">  </w:t>
            </w:r>
            <w:r w:rsidR="00654A7B" w:rsidRPr="00654A7B">
              <w:rPr>
                <w:rFonts w:ascii="Calibri" w:eastAsia="Times New Roman" w:hAnsi="Calibri" w:cs="Times New Roman"/>
                <w:b/>
                <w:bCs/>
                <w:color w:val="000000"/>
              </w:rPr>
              <w:t>+</w:t>
            </w:r>
            <w:r w:rsidR="009D4968">
              <w:rPr>
                <w:rFonts w:ascii="Calibri" w:eastAsia="Times New Roman" w:hAnsi="Calibri" w:cs="Times New Roman"/>
                <w:b/>
                <w:bCs/>
                <w:color w:val="000000"/>
              </w:rPr>
              <w:t xml:space="preserve"> </w:t>
            </w:r>
            <w:r w:rsidR="009D4968">
              <w:rPr>
                <w:rFonts w:ascii="Calibri" w:eastAsia="Times New Roman" w:hAnsi="Calibri" w:cs="Times New Roman"/>
                <w:b/>
                <w:bCs/>
                <w:color w:val="000000"/>
                <w:vertAlign w:val="superscript"/>
              </w:rPr>
              <w:t>2</w:t>
            </w:r>
          </w:p>
        </w:tc>
        <w:tc>
          <w:tcPr>
            <w:tcW w:w="730" w:type="dxa"/>
            <w:hideMark/>
          </w:tcPr>
          <w:p w:rsidR="00654A7B" w:rsidRPr="00654A7B" w:rsidRDefault="002D7EE0"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r>
              <w:rPr>
                <w:rFonts w:ascii="Calibri" w:eastAsia="Times New Roman" w:hAnsi="Calibri" w:cs="Times New Roman"/>
                <w:b/>
                <w:bCs/>
                <w:color w:val="000000"/>
              </w:rPr>
              <w:t xml:space="preserve"> </w:t>
            </w:r>
            <w:r>
              <w:rPr>
                <w:rFonts w:ascii="Calibri" w:eastAsia="Times New Roman" w:hAnsi="Calibri" w:cs="Times New Roman"/>
                <w:b/>
                <w:bCs/>
                <w:color w:val="000000"/>
                <w:vertAlign w:val="superscript"/>
              </w:rPr>
              <w:t>1</w:t>
            </w:r>
          </w:p>
        </w:tc>
        <w:tc>
          <w:tcPr>
            <w:tcW w:w="730" w:type="dxa"/>
            <w:hideMark/>
          </w:tcPr>
          <w:p w:rsidR="00654A7B" w:rsidRPr="00654A7B"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c>
          <w:tcPr>
            <w:tcW w:w="730" w:type="dxa"/>
            <w:hideMark/>
          </w:tcPr>
          <w:p w:rsidR="00654A7B" w:rsidRPr="002D7EE0"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vertAlign w:val="superscript"/>
              </w:rPr>
            </w:pPr>
            <w:r w:rsidRPr="00654A7B">
              <w:rPr>
                <w:rFonts w:ascii="Calibri" w:eastAsia="Times New Roman" w:hAnsi="Calibri" w:cs="Times New Roman"/>
                <w:b/>
                <w:bCs/>
                <w:color w:val="000000"/>
              </w:rPr>
              <w:t> </w:t>
            </w:r>
            <w:r w:rsidR="002D7EE0">
              <w:rPr>
                <w:rFonts w:ascii="Calibri" w:eastAsia="Times New Roman" w:hAnsi="Calibri" w:cs="Times New Roman"/>
                <w:b/>
                <w:bCs/>
                <w:color w:val="000000"/>
              </w:rPr>
              <w:t xml:space="preserve">   </w:t>
            </w:r>
            <w:r w:rsidR="002D7EE0">
              <w:rPr>
                <w:rFonts w:ascii="Calibri" w:eastAsia="Times New Roman" w:hAnsi="Calibri" w:cs="Times New Roman"/>
                <w:b/>
                <w:bCs/>
                <w:color w:val="000000"/>
                <w:vertAlign w:val="superscript"/>
              </w:rPr>
              <w:t>2</w:t>
            </w:r>
          </w:p>
        </w:tc>
        <w:tc>
          <w:tcPr>
            <w:tcW w:w="730" w:type="dxa"/>
            <w:hideMark/>
          </w:tcPr>
          <w:p w:rsidR="00654A7B" w:rsidRPr="002D7EE0"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vertAlign w:val="superscript"/>
              </w:rPr>
            </w:pPr>
            <w:r w:rsidRPr="00654A7B">
              <w:rPr>
                <w:rFonts w:ascii="Calibri" w:eastAsia="Times New Roman" w:hAnsi="Calibri" w:cs="Times New Roman"/>
                <w:b/>
                <w:bCs/>
                <w:color w:val="000000"/>
              </w:rPr>
              <w:t> </w:t>
            </w:r>
            <w:r w:rsidR="002D7EE0">
              <w:rPr>
                <w:rFonts w:ascii="Calibri" w:eastAsia="Times New Roman" w:hAnsi="Calibri" w:cs="Times New Roman"/>
                <w:b/>
                <w:bCs/>
                <w:color w:val="000000"/>
              </w:rPr>
              <w:t xml:space="preserve">   </w:t>
            </w:r>
            <w:r w:rsidR="002D7EE0">
              <w:rPr>
                <w:rFonts w:ascii="Calibri" w:eastAsia="Times New Roman" w:hAnsi="Calibri" w:cs="Times New Roman"/>
                <w:b/>
                <w:bCs/>
                <w:color w:val="000000"/>
                <w:vertAlign w:val="superscript"/>
              </w:rPr>
              <w:t>2</w:t>
            </w:r>
          </w:p>
        </w:tc>
        <w:tc>
          <w:tcPr>
            <w:tcW w:w="730" w:type="dxa"/>
            <w:hideMark/>
          </w:tcPr>
          <w:p w:rsidR="00654A7B" w:rsidRPr="00654A7B"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c>
          <w:tcPr>
            <w:tcW w:w="730" w:type="dxa"/>
            <w:hideMark/>
          </w:tcPr>
          <w:p w:rsidR="00654A7B" w:rsidRPr="00654A7B"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r>
      <w:tr w:rsidR="00654A7B" w:rsidRPr="00654A7B" w:rsidTr="00654A7B">
        <w:trPr>
          <w:trHeight w:val="315"/>
        </w:trPr>
        <w:tc>
          <w:tcPr>
            <w:cnfStyle w:val="001000000000" w:firstRow="0" w:lastRow="0" w:firstColumn="1" w:lastColumn="0" w:oddVBand="0" w:evenVBand="0" w:oddHBand="0" w:evenHBand="0" w:firstRowFirstColumn="0" w:firstRowLastColumn="0" w:lastRowFirstColumn="0" w:lastRowLastColumn="0"/>
            <w:tcW w:w="1040" w:type="dxa"/>
            <w:hideMark/>
          </w:tcPr>
          <w:p w:rsidR="00654A7B" w:rsidRPr="00654A7B" w:rsidRDefault="00654A7B" w:rsidP="00654A7B">
            <w:pPr>
              <w:rPr>
                <w:rFonts w:ascii="Calibri" w:eastAsia="Times New Roman" w:hAnsi="Calibri" w:cs="Times New Roman"/>
                <w:color w:val="000000"/>
              </w:rPr>
            </w:pPr>
            <w:r w:rsidRPr="00654A7B">
              <w:rPr>
                <w:rFonts w:ascii="Calibri" w:eastAsia="Times New Roman" w:hAnsi="Calibri" w:cs="Times New Roman"/>
                <w:color w:val="000000"/>
              </w:rPr>
              <w:t xml:space="preserve">   Third</w:t>
            </w:r>
          </w:p>
        </w:tc>
        <w:tc>
          <w:tcPr>
            <w:tcW w:w="730" w:type="dxa"/>
            <w:hideMark/>
          </w:tcPr>
          <w:p w:rsidR="00654A7B" w:rsidRPr="00654A7B" w:rsidRDefault="00654A7B" w:rsidP="00654A7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 </w:t>
            </w:r>
          </w:p>
        </w:tc>
        <w:tc>
          <w:tcPr>
            <w:tcW w:w="730" w:type="dxa"/>
            <w:hideMark/>
          </w:tcPr>
          <w:p w:rsidR="00654A7B" w:rsidRPr="00654A7B" w:rsidRDefault="00654A7B" w:rsidP="00FB6D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c>
          <w:tcPr>
            <w:tcW w:w="730" w:type="dxa"/>
            <w:hideMark/>
          </w:tcPr>
          <w:p w:rsidR="00654A7B" w:rsidRPr="009D4968" w:rsidRDefault="00FB6D46"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vertAlign w:val="superscript"/>
              </w:rPr>
            </w:pPr>
            <w:r>
              <w:rPr>
                <w:rFonts w:ascii="Calibri" w:eastAsia="Times New Roman" w:hAnsi="Calibri" w:cs="Times New Roman"/>
                <w:b/>
                <w:bCs/>
                <w:color w:val="000000"/>
              </w:rPr>
              <w:t xml:space="preserve">  </w:t>
            </w:r>
            <w:r w:rsidR="00654A7B" w:rsidRPr="00654A7B">
              <w:rPr>
                <w:rFonts w:ascii="Calibri" w:eastAsia="Times New Roman" w:hAnsi="Calibri" w:cs="Times New Roman"/>
                <w:b/>
                <w:bCs/>
                <w:color w:val="000000"/>
              </w:rPr>
              <w:t>-</w:t>
            </w:r>
            <w:r w:rsidR="009D4968">
              <w:rPr>
                <w:rFonts w:ascii="Calibri" w:eastAsia="Times New Roman" w:hAnsi="Calibri" w:cs="Times New Roman"/>
                <w:b/>
                <w:bCs/>
                <w:color w:val="000000"/>
              </w:rPr>
              <w:t xml:space="preserve"> </w:t>
            </w:r>
            <w:r w:rsidR="009D4968">
              <w:rPr>
                <w:rFonts w:ascii="Calibri" w:eastAsia="Times New Roman" w:hAnsi="Calibri" w:cs="Times New Roman"/>
                <w:b/>
                <w:bCs/>
                <w:color w:val="000000"/>
                <w:vertAlign w:val="superscript"/>
              </w:rPr>
              <w:t>3</w:t>
            </w:r>
          </w:p>
        </w:tc>
        <w:tc>
          <w:tcPr>
            <w:tcW w:w="730" w:type="dxa"/>
            <w:hideMark/>
          </w:tcPr>
          <w:p w:rsidR="00654A7B" w:rsidRPr="009D4968" w:rsidRDefault="00FB6D46"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vertAlign w:val="superscript"/>
              </w:rPr>
            </w:pPr>
            <w:r>
              <w:rPr>
                <w:rFonts w:ascii="Calibri" w:eastAsia="Times New Roman" w:hAnsi="Calibri" w:cs="Times New Roman"/>
                <w:b/>
                <w:bCs/>
                <w:color w:val="000000"/>
              </w:rPr>
              <w:t xml:space="preserve">  </w:t>
            </w:r>
            <w:r w:rsidR="00654A7B" w:rsidRPr="00654A7B">
              <w:rPr>
                <w:rFonts w:ascii="Calibri" w:eastAsia="Times New Roman" w:hAnsi="Calibri" w:cs="Times New Roman"/>
                <w:b/>
                <w:bCs/>
                <w:color w:val="000000"/>
              </w:rPr>
              <w:t>+</w:t>
            </w:r>
            <w:r w:rsidR="009D4968">
              <w:rPr>
                <w:rFonts w:ascii="Calibri" w:eastAsia="Times New Roman" w:hAnsi="Calibri" w:cs="Times New Roman"/>
                <w:b/>
                <w:bCs/>
                <w:color w:val="000000"/>
              </w:rPr>
              <w:t xml:space="preserve"> </w:t>
            </w:r>
            <w:r w:rsidR="009D4968">
              <w:rPr>
                <w:rFonts w:ascii="Calibri" w:eastAsia="Times New Roman" w:hAnsi="Calibri" w:cs="Times New Roman"/>
                <w:b/>
                <w:bCs/>
                <w:color w:val="000000"/>
                <w:vertAlign w:val="superscript"/>
              </w:rPr>
              <w:t>3</w:t>
            </w:r>
          </w:p>
        </w:tc>
        <w:tc>
          <w:tcPr>
            <w:tcW w:w="730" w:type="dxa"/>
            <w:hideMark/>
          </w:tcPr>
          <w:p w:rsidR="00654A7B" w:rsidRPr="00654A7B" w:rsidRDefault="00654A7B"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 </w:t>
            </w:r>
          </w:p>
        </w:tc>
        <w:tc>
          <w:tcPr>
            <w:tcW w:w="730" w:type="dxa"/>
            <w:hideMark/>
          </w:tcPr>
          <w:p w:rsidR="00654A7B" w:rsidRPr="00654A7B" w:rsidRDefault="00FB6D46"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Pr>
                <w:rFonts w:ascii="Calibri" w:eastAsia="Times New Roman" w:hAnsi="Calibri" w:cs="Times New Roman"/>
                <w:b/>
                <w:bCs/>
                <w:color w:val="000000"/>
              </w:rPr>
              <w:t xml:space="preserve">  </w:t>
            </w:r>
            <w:r w:rsidR="002D7EE0" w:rsidRPr="00654A7B">
              <w:rPr>
                <w:rFonts w:ascii="Calibri" w:eastAsia="Times New Roman" w:hAnsi="Calibri" w:cs="Times New Roman"/>
                <w:b/>
                <w:bCs/>
                <w:color w:val="000000"/>
              </w:rPr>
              <w:t>-</w:t>
            </w:r>
            <w:r w:rsidR="002D7EE0">
              <w:rPr>
                <w:rFonts w:ascii="Calibri" w:eastAsia="Times New Roman" w:hAnsi="Calibri" w:cs="Times New Roman"/>
                <w:b/>
                <w:bCs/>
                <w:color w:val="000000"/>
              </w:rPr>
              <w:t xml:space="preserve"> </w:t>
            </w:r>
            <w:r w:rsidR="002D7EE0">
              <w:rPr>
                <w:rFonts w:ascii="Calibri" w:eastAsia="Times New Roman" w:hAnsi="Calibri" w:cs="Times New Roman"/>
                <w:b/>
                <w:bCs/>
                <w:color w:val="000000"/>
                <w:vertAlign w:val="superscript"/>
              </w:rPr>
              <w:t>3</w:t>
            </w:r>
          </w:p>
        </w:tc>
        <w:tc>
          <w:tcPr>
            <w:tcW w:w="730" w:type="dxa"/>
            <w:hideMark/>
          </w:tcPr>
          <w:p w:rsidR="00654A7B" w:rsidRPr="00654A7B" w:rsidRDefault="00654A7B" w:rsidP="00654A7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 </w:t>
            </w:r>
          </w:p>
        </w:tc>
        <w:tc>
          <w:tcPr>
            <w:tcW w:w="730" w:type="dxa"/>
            <w:hideMark/>
          </w:tcPr>
          <w:p w:rsidR="00654A7B" w:rsidRPr="00654A7B" w:rsidRDefault="00654A7B"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c>
          <w:tcPr>
            <w:tcW w:w="730" w:type="dxa"/>
            <w:hideMark/>
          </w:tcPr>
          <w:p w:rsidR="00654A7B" w:rsidRPr="00654A7B" w:rsidRDefault="00654A7B"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c>
          <w:tcPr>
            <w:tcW w:w="730" w:type="dxa"/>
            <w:hideMark/>
          </w:tcPr>
          <w:p w:rsidR="00654A7B" w:rsidRPr="00654A7B" w:rsidRDefault="00654A7B"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r>
      <w:tr w:rsidR="00654A7B" w:rsidRPr="00654A7B" w:rsidTr="00654A7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0" w:type="dxa"/>
            <w:hideMark/>
          </w:tcPr>
          <w:p w:rsidR="00654A7B" w:rsidRPr="00654A7B" w:rsidRDefault="00654A7B" w:rsidP="00654A7B">
            <w:pPr>
              <w:rPr>
                <w:rFonts w:ascii="Calibri" w:eastAsia="Times New Roman" w:hAnsi="Calibri" w:cs="Times New Roman"/>
                <w:color w:val="000000"/>
              </w:rPr>
            </w:pPr>
            <w:r w:rsidRPr="00654A7B">
              <w:rPr>
                <w:rFonts w:ascii="Calibri" w:eastAsia="Times New Roman" w:hAnsi="Calibri" w:cs="Times New Roman"/>
                <w:color w:val="000000"/>
              </w:rPr>
              <w:t xml:space="preserve">   Fourth</w:t>
            </w:r>
          </w:p>
        </w:tc>
        <w:tc>
          <w:tcPr>
            <w:tcW w:w="730" w:type="dxa"/>
            <w:hideMark/>
          </w:tcPr>
          <w:p w:rsidR="00654A7B" w:rsidRPr="00654A7B" w:rsidRDefault="00654A7B" w:rsidP="00654A7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 </w:t>
            </w:r>
          </w:p>
        </w:tc>
        <w:tc>
          <w:tcPr>
            <w:tcW w:w="730" w:type="dxa"/>
            <w:hideMark/>
          </w:tcPr>
          <w:p w:rsidR="00654A7B" w:rsidRPr="00654A7B"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c>
          <w:tcPr>
            <w:tcW w:w="730" w:type="dxa"/>
            <w:hideMark/>
          </w:tcPr>
          <w:p w:rsidR="00654A7B" w:rsidRPr="00654A7B"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 </w:t>
            </w:r>
          </w:p>
        </w:tc>
        <w:tc>
          <w:tcPr>
            <w:tcW w:w="730" w:type="dxa"/>
            <w:hideMark/>
          </w:tcPr>
          <w:p w:rsidR="00654A7B" w:rsidRPr="00654A7B"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c>
          <w:tcPr>
            <w:tcW w:w="730" w:type="dxa"/>
            <w:hideMark/>
          </w:tcPr>
          <w:p w:rsidR="00654A7B" w:rsidRPr="00654A7B" w:rsidRDefault="00FB6D46"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Pr>
                <w:rFonts w:ascii="Calibri" w:eastAsia="Times New Roman" w:hAnsi="Calibri" w:cs="Times New Roman"/>
                <w:b/>
                <w:bCs/>
                <w:color w:val="000000"/>
              </w:rPr>
              <w:t xml:space="preserve"> </w:t>
            </w:r>
            <w:r w:rsidR="002D7EE0" w:rsidRPr="00654A7B">
              <w:rPr>
                <w:rFonts w:ascii="Calibri" w:eastAsia="Times New Roman" w:hAnsi="Calibri" w:cs="Times New Roman"/>
                <w:b/>
                <w:bCs/>
                <w:color w:val="000000"/>
              </w:rPr>
              <w:t>+</w:t>
            </w:r>
            <w:r w:rsidR="002D7EE0">
              <w:rPr>
                <w:rFonts w:ascii="Calibri" w:eastAsia="Times New Roman" w:hAnsi="Calibri" w:cs="Times New Roman"/>
                <w:b/>
                <w:bCs/>
                <w:color w:val="000000"/>
              </w:rPr>
              <w:t xml:space="preserve"> </w:t>
            </w:r>
            <w:r w:rsidR="002D7EE0">
              <w:rPr>
                <w:rFonts w:ascii="Calibri" w:eastAsia="Times New Roman" w:hAnsi="Calibri" w:cs="Times New Roman"/>
                <w:b/>
                <w:bCs/>
                <w:color w:val="000000"/>
                <w:vertAlign w:val="superscript"/>
              </w:rPr>
              <w:t>3</w:t>
            </w:r>
          </w:p>
        </w:tc>
        <w:tc>
          <w:tcPr>
            <w:tcW w:w="730" w:type="dxa"/>
            <w:hideMark/>
          </w:tcPr>
          <w:p w:rsidR="00654A7B" w:rsidRPr="00654A7B"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 </w:t>
            </w:r>
          </w:p>
        </w:tc>
        <w:tc>
          <w:tcPr>
            <w:tcW w:w="730" w:type="dxa"/>
            <w:hideMark/>
          </w:tcPr>
          <w:p w:rsidR="00654A7B" w:rsidRPr="00654A7B" w:rsidRDefault="00654A7B" w:rsidP="00654A7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 </w:t>
            </w:r>
          </w:p>
        </w:tc>
        <w:tc>
          <w:tcPr>
            <w:tcW w:w="730" w:type="dxa"/>
            <w:hideMark/>
          </w:tcPr>
          <w:p w:rsidR="00654A7B" w:rsidRPr="00654A7B"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c>
          <w:tcPr>
            <w:tcW w:w="730" w:type="dxa"/>
            <w:hideMark/>
          </w:tcPr>
          <w:p w:rsidR="00654A7B" w:rsidRPr="002D7EE0"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vertAlign w:val="superscript"/>
              </w:rPr>
            </w:pPr>
            <w:r w:rsidRPr="00654A7B">
              <w:rPr>
                <w:rFonts w:ascii="Calibri" w:eastAsia="Times New Roman" w:hAnsi="Calibri" w:cs="Times New Roman"/>
                <w:b/>
                <w:bCs/>
                <w:color w:val="000000"/>
              </w:rPr>
              <w:t> </w:t>
            </w:r>
            <w:r w:rsidR="002D7EE0">
              <w:rPr>
                <w:rFonts w:ascii="Calibri" w:eastAsia="Times New Roman" w:hAnsi="Calibri" w:cs="Times New Roman"/>
                <w:b/>
                <w:bCs/>
                <w:color w:val="000000"/>
              </w:rPr>
              <w:t xml:space="preserve">   </w:t>
            </w:r>
            <w:r w:rsidR="002D7EE0">
              <w:rPr>
                <w:rFonts w:ascii="Calibri" w:eastAsia="Times New Roman" w:hAnsi="Calibri" w:cs="Times New Roman"/>
                <w:b/>
                <w:bCs/>
                <w:color w:val="000000"/>
                <w:vertAlign w:val="superscript"/>
              </w:rPr>
              <w:t>1</w:t>
            </w:r>
          </w:p>
        </w:tc>
        <w:tc>
          <w:tcPr>
            <w:tcW w:w="730" w:type="dxa"/>
            <w:hideMark/>
          </w:tcPr>
          <w:p w:rsidR="00654A7B" w:rsidRPr="00654A7B"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r>
      <w:tr w:rsidR="00654A7B" w:rsidRPr="00654A7B" w:rsidTr="00654A7B">
        <w:trPr>
          <w:trHeight w:val="315"/>
        </w:trPr>
        <w:tc>
          <w:tcPr>
            <w:cnfStyle w:val="001000000000" w:firstRow="0" w:lastRow="0" w:firstColumn="1" w:lastColumn="0" w:oddVBand="0" w:evenVBand="0" w:oddHBand="0" w:evenHBand="0" w:firstRowFirstColumn="0" w:firstRowLastColumn="0" w:lastRowFirstColumn="0" w:lastRowLastColumn="0"/>
            <w:tcW w:w="1040" w:type="dxa"/>
            <w:hideMark/>
          </w:tcPr>
          <w:p w:rsidR="00654A7B" w:rsidRPr="00654A7B" w:rsidRDefault="00654A7B" w:rsidP="00654A7B">
            <w:pPr>
              <w:rPr>
                <w:rFonts w:ascii="Calibri" w:eastAsia="Times New Roman" w:hAnsi="Calibri" w:cs="Times New Roman"/>
                <w:color w:val="000000"/>
              </w:rPr>
            </w:pPr>
            <w:r w:rsidRPr="00654A7B">
              <w:rPr>
                <w:rFonts w:ascii="Calibri" w:eastAsia="Times New Roman" w:hAnsi="Calibri" w:cs="Times New Roman"/>
                <w:color w:val="000000"/>
              </w:rPr>
              <w:t xml:space="preserve">   Fifth</w:t>
            </w:r>
          </w:p>
        </w:tc>
        <w:tc>
          <w:tcPr>
            <w:tcW w:w="730" w:type="dxa"/>
            <w:hideMark/>
          </w:tcPr>
          <w:p w:rsidR="00654A7B" w:rsidRPr="00654A7B" w:rsidRDefault="00654A7B"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 </w:t>
            </w:r>
          </w:p>
        </w:tc>
        <w:tc>
          <w:tcPr>
            <w:tcW w:w="730" w:type="dxa"/>
            <w:hideMark/>
          </w:tcPr>
          <w:p w:rsidR="00654A7B" w:rsidRPr="00654A7B" w:rsidRDefault="00654A7B"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c>
          <w:tcPr>
            <w:tcW w:w="730" w:type="dxa"/>
            <w:hideMark/>
          </w:tcPr>
          <w:p w:rsidR="00654A7B" w:rsidRPr="009D4968" w:rsidRDefault="00FB6D46"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vertAlign w:val="superscript"/>
              </w:rPr>
            </w:pPr>
            <w:r>
              <w:rPr>
                <w:rFonts w:ascii="Calibri" w:eastAsia="Times New Roman" w:hAnsi="Calibri" w:cs="Times New Roman"/>
                <w:b/>
                <w:bCs/>
                <w:color w:val="000000"/>
              </w:rPr>
              <w:t xml:space="preserve">  </w:t>
            </w:r>
            <w:r w:rsidR="00654A7B" w:rsidRPr="00654A7B">
              <w:rPr>
                <w:rFonts w:ascii="Calibri" w:eastAsia="Times New Roman" w:hAnsi="Calibri" w:cs="Times New Roman"/>
                <w:b/>
                <w:bCs/>
                <w:color w:val="000000"/>
              </w:rPr>
              <w:t>+</w:t>
            </w:r>
            <w:r w:rsidR="009D4968">
              <w:rPr>
                <w:rFonts w:ascii="Calibri" w:eastAsia="Times New Roman" w:hAnsi="Calibri" w:cs="Times New Roman"/>
                <w:b/>
                <w:bCs/>
                <w:color w:val="000000"/>
              </w:rPr>
              <w:t xml:space="preserve"> </w:t>
            </w:r>
            <w:r w:rsidR="009D4968">
              <w:rPr>
                <w:rFonts w:ascii="Calibri" w:eastAsia="Times New Roman" w:hAnsi="Calibri" w:cs="Times New Roman"/>
                <w:b/>
                <w:bCs/>
                <w:color w:val="000000"/>
                <w:vertAlign w:val="superscript"/>
              </w:rPr>
              <w:t>3</w:t>
            </w:r>
          </w:p>
        </w:tc>
        <w:tc>
          <w:tcPr>
            <w:tcW w:w="730" w:type="dxa"/>
            <w:hideMark/>
          </w:tcPr>
          <w:p w:rsidR="00654A7B" w:rsidRPr="009D4968" w:rsidRDefault="00FB6D46" w:rsidP="009D496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Pr>
                <w:rFonts w:ascii="Calibri" w:eastAsia="Times New Roman" w:hAnsi="Calibri" w:cs="Times New Roman"/>
                <w:b/>
                <w:bCs/>
                <w:color w:val="000000"/>
              </w:rPr>
              <w:t xml:space="preserve">  </w:t>
            </w:r>
            <w:r w:rsidR="009D4968" w:rsidRPr="00654A7B">
              <w:rPr>
                <w:rFonts w:ascii="Calibri" w:eastAsia="Times New Roman" w:hAnsi="Calibri" w:cs="Times New Roman"/>
                <w:b/>
                <w:bCs/>
                <w:color w:val="000000"/>
              </w:rPr>
              <w:t>-</w:t>
            </w:r>
            <w:r w:rsidR="009D4968">
              <w:rPr>
                <w:rFonts w:ascii="Calibri" w:eastAsia="Times New Roman" w:hAnsi="Calibri" w:cs="Times New Roman"/>
                <w:b/>
                <w:bCs/>
                <w:color w:val="000000"/>
              </w:rPr>
              <w:t xml:space="preserve"> </w:t>
            </w:r>
            <w:r w:rsidR="009D4968">
              <w:rPr>
                <w:rFonts w:ascii="Calibri" w:eastAsia="Times New Roman" w:hAnsi="Calibri" w:cs="Times New Roman"/>
                <w:b/>
                <w:bCs/>
                <w:color w:val="000000"/>
                <w:vertAlign w:val="superscript"/>
              </w:rPr>
              <w:t>1</w:t>
            </w:r>
          </w:p>
        </w:tc>
        <w:tc>
          <w:tcPr>
            <w:tcW w:w="730" w:type="dxa"/>
            <w:hideMark/>
          </w:tcPr>
          <w:p w:rsidR="00654A7B" w:rsidRPr="002D7EE0" w:rsidRDefault="00654A7B"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vertAlign w:val="superscript"/>
              </w:rPr>
            </w:pPr>
            <w:r w:rsidRPr="00654A7B">
              <w:rPr>
                <w:rFonts w:ascii="Calibri" w:eastAsia="Times New Roman" w:hAnsi="Calibri" w:cs="Times New Roman"/>
                <w:b/>
                <w:bCs/>
                <w:color w:val="000000"/>
              </w:rPr>
              <w:t> </w:t>
            </w:r>
            <w:r w:rsidR="002D7EE0">
              <w:rPr>
                <w:rFonts w:ascii="Calibri" w:eastAsia="Times New Roman" w:hAnsi="Calibri" w:cs="Times New Roman"/>
                <w:b/>
                <w:bCs/>
                <w:color w:val="000000"/>
              </w:rPr>
              <w:t xml:space="preserve">   </w:t>
            </w:r>
            <w:r w:rsidR="002D7EE0">
              <w:rPr>
                <w:rFonts w:ascii="Calibri" w:eastAsia="Times New Roman" w:hAnsi="Calibri" w:cs="Times New Roman"/>
                <w:b/>
                <w:bCs/>
                <w:color w:val="000000"/>
                <w:vertAlign w:val="superscript"/>
              </w:rPr>
              <w:t>2</w:t>
            </w:r>
          </w:p>
        </w:tc>
        <w:tc>
          <w:tcPr>
            <w:tcW w:w="730" w:type="dxa"/>
            <w:hideMark/>
          </w:tcPr>
          <w:p w:rsidR="00654A7B" w:rsidRPr="00654A7B" w:rsidRDefault="00FB6D46"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Pr>
                <w:rFonts w:ascii="Calibri" w:eastAsia="Times New Roman" w:hAnsi="Calibri" w:cs="Times New Roman"/>
                <w:b/>
                <w:bCs/>
                <w:color w:val="000000"/>
              </w:rPr>
              <w:t xml:space="preserve">  </w:t>
            </w:r>
            <w:r w:rsidR="002D7EE0" w:rsidRPr="00654A7B">
              <w:rPr>
                <w:rFonts w:ascii="Calibri" w:eastAsia="Times New Roman" w:hAnsi="Calibri" w:cs="Times New Roman"/>
                <w:b/>
                <w:bCs/>
                <w:color w:val="000000"/>
              </w:rPr>
              <w:t>+</w:t>
            </w:r>
            <w:r w:rsidR="002D7EE0">
              <w:rPr>
                <w:rFonts w:ascii="Calibri" w:eastAsia="Times New Roman" w:hAnsi="Calibri" w:cs="Times New Roman"/>
                <w:b/>
                <w:bCs/>
                <w:color w:val="000000"/>
              </w:rPr>
              <w:t xml:space="preserve"> </w:t>
            </w:r>
            <w:r w:rsidR="002D7EE0">
              <w:rPr>
                <w:rFonts w:ascii="Calibri" w:eastAsia="Times New Roman" w:hAnsi="Calibri" w:cs="Times New Roman"/>
                <w:b/>
                <w:bCs/>
                <w:color w:val="000000"/>
                <w:vertAlign w:val="superscript"/>
              </w:rPr>
              <w:t>3</w:t>
            </w:r>
          </w:p>
        </w:tc>
        <w:tc>
          <w:tcPr>
            <w:tcW w:w="730" w:type="dxa"/>
            <w:hideMark/>
          </w:tcPr>
          <w:p w:rsidR="00654A7B" w:rsidRPr="00654A7B" w:rsidRDefault="00654A7B" w:rsidP="00654A7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 </w:t>
            </w:r>
          </w:p>
        </w:tc>
        <w:tc>
          <w:tcPr>
            <w:tcW w:w="730" w:type="dxa"/>
            <w:hideMark/>
          </w:tcPr>
          <w:p w:rsidR="00654A7B" w:rsidRPr="00654A7B" w:rsidRDefault="00654A7B"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c>
          <w:tcPr>
            <w:tcW w:w="730" w:type="dxa"/>
            <w:hideMark/>
          </w:tcPr>
          <w:p w:rsidR="00654A7B" w:rsidRPr="00654A7B" w:rsidRDefault="00654A7B"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c>
          <w:tcPr>
            <w:tcW w:w="730" w:type="dxa"/>
            <w:hideMark/>
          </w:tcPr>
          <w:p w:rsidR="00654A7B" w:rsidRPr="00654A7B" w:rsidRDefault="00654A7B" w:rsidP="00654A7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r>
      <w:tr w:rsidR="00654A7B" w:rsidRPr="00654A7B" w:rsidTr="00654A7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0" w:type="dxa"/>
            <w:hideMark/>
          </w:tcPr>
          <w:p w:rsidR="00654A7B" w:rsidRPr="00654A7B" w:rsidRDefault="00654A7B" w:rsidP="00654A7B">
            <w:pPr>
              <w:rPr>
                <w:rFonts w:ascii="Calibri" w:eastAsia="Times New Roman" w:hAnsi="Calibri" w:cs="Times New Roman"/>
                <w:color w:val="000000"/>
              </w:rPr>
            </w:pPr>
            <w:r w:rsidRPr="00654A7B">
              <w:rPr>
                <w:rFonts w:ascii="Calibri" w:eastAsia="Times New Roman" w:hAnsi="Calibri" w:cs="Times New Roman"/>
                <w:color w:val="000000"/>
              </w:rPr>
              <w:t>Top 1%</w:t>
            </w:r>
          </w:p>
        </w:tc>
        <w:tc>
          <w:tcPr>
            <w:tcW w:w="730" w:type="dxa"/>
            <w:hideMark/>
          </w:tcPr>
          <w:p w:rsidR="00654A7B" w:rsidRPr="00654A7B"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 </w:t>
            </w:r>
          </w:p>
        </w:tc>
        <w:tc>
          <w:tcPr>
            <w:tcW w:w="730" w:type="dxa"/>
            <w:hideMark/>
          </w:tcPr>
          <w:p w:rsidR="00654A7B" w:rsidRPr="00654A7B"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c>
          <w:tcPr>
            <w:tcW w:w="730" w:type="dxa"/>
            <w:hideMark/>
          </w:tcPr>
          <w:p w:rsidR="00654A7B" w:rsidRPr="009D4968" w:rsidRDefault="002C6DCA"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vertAlign w:val="superscript"/>
              </w:rPr>
            </w:pPr>
            <w:r>
              <w:rPr>
                <w:rFonts w:ascii="Calibri" w:eastAsia="Times New Roman" w:hAnsi="Calibri" w:cs="Times New Roman"/>
                <w:b/>
                <w:bCs/>
                <w:color w:val="000000"/>
              </w:rPr>
              <w:t xml:space="preserve"> </w:t>
            </w:r>
            <w:r w:rsidR="00FB6D46">
              <w:rPr>
                <w:rFonts w:ascii="Calibri" w:eastAsia="Times New Roman" w:hAnsi="Calibri" w:cs="Times New Roman"/>
                <w:b/>
                <w:bCs/>
                <w:color w:val="000000"/>
              </w:rPr>
              <w:t xml:space="preserve">  </w:t>
            </w:r>
            <w:r w:rsidR="000C1953">
              <w:rPr>
                <w:rFonts w:ascii="Calibri" w:eastAsia="Times New Roman" w:hAnsi="Calibri" w:cs="Times New Roman"/>
                <w:b/>
                <w:bCs/>
                <w:color w:val="000000"/>
              </w:rPr>
              <w:t>+</w:t>
            </w:r>
            <w:r w:rsidR="00654A7B" w:rsidRPr="00654A7B">
              <w:rPr>
                <w:rFonts w:ascii="Calibri" w:eastAsia="Times New Roman" w:hAnsi="Calibri" w:cs="Times New Roman"/>
                <w:b/>
                <w:bCs/>
                <w:color w:val="000000"/>
              </w:rPr>
              <w:t> </w:t>
            </w:r>
            <w:r w:rsidR="009D4968">
              <w:rPr>
                <w:rFonts w:ascii="Calibri" w:eastAsia="Times New Roman" w:hAnsi="Calibri" w:cs="Times New Roman"/>
                <w:b/>
                <w:bCs/>
                <w:color w:val="000000"/>
                <w:vertAlign w:val="superscript"/>
              </w:rPr>
              <w:t>3</w:t>
            </w:r>
          </w:p>
        </w:tc>
        <w:tc>
          <w:tcPr>
            <w:tcW w:w="730" w:type="dxa"/>
            <w:hideMark/>
          </w:tcPr>
          <w:p w:rsidR="00654A7B" w:rsidRPr="009D4968" w:rsidRDefault="00FB6D46" w:rsidP="009D496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Pr>
                <w:rFonts w:ascii="Calibri" w:eastAsia="Times New Roman" w:hAnsi="Calibri" w:cs="Times New Roman"/>
                <w:b/>
                <w:bCs/>
                <w:color w:val="000000"/>
              </w:rPr>
              <w:t xml:space="preserve">  </w:t>
            </w:r>
            <w:r w:rsidR="009D4968" w:rsidRPr="009D4968">
              <w:rPr>
                <w:rFonts w:ascii="Calibri" w:eastAsia="Times New Roman" w:hAnsi="Calibri" w:cs="Times New Roman"/>
                <w:b/>
                <w:bCs/>
                <w:color w:val="000000"/>
              </w:rPr>
              <w:t xml:space="preserve">- </w:t>
            </w:r>
            <w:r w:rsidR="009D4968" w:rsidRPr="009D4968">
              <w:rPr>
                <w:rFonts w:ascii="Calibri" w:eastAsia="Times New Roman" w:hAnsi="Calibri" w:cs="Times New Roman"/>
                <w:b/>
                <w:bCs/>
                <w:color w:val="000000"/>
                <w:vertAlign w:val="superscript"/>
              </w:rPr>
              <w:t>3</w:t>
            </w:r>
          </w:p>
        </w:tc>
        <w:tc>
          <w:tcPr>
            <w:tcW w:w="730" w:type="dxa"/>
            <w:hideMark/>
          </w:tcPr>
          <w:p w:rsidR="00654A7B" w:rsidRPr="00654A7B"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 </w:t>
            </w:r>
          </w:p>
        </w:tc>
        <w:tc>
          <w:tcPr>
            <w:tcW w:w="730" w:type="dxa"/>
            <w:hideMark/>
          </w:tcPr>
          <w:p w:rsidR="00654A7B" w:rsidRPr="00654A7B"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 </w:t>
            </w:r>
          </w:p>
        </w:tc>
        <w:tc>
          <w:tcPr>
            <w:tcW w:w="730" w:type="dxa"/>
            <w:hideMark/>
          </w:tcPr>
          <w:p w:rsidR="00654A7B" w:rsidRPr="00654A7B"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 </w:t>
            </w:r>
          </w:p>
        </w:tc>
        <w:tc>
          <w:tcPr>
            <w:tcW w:w="730" w:type="dxa"/>
            <w:hideMark/>
          </w:tcPr>
          <w:p w:rsidR="00654A7B" w:rsidRPr="002D7EE0"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vertAlign w:val="superscript"/>
              </w:rPr>
            </w:pPr>
            <w:r w:rsidRPr="00654A7B">
              <w:rPr>
                <w:rFonts w:ascii="Calibri" w:eastAsia="Times New Roman" w:hAnsi="Calibri" w:cs="Times New Roman"/>
                <w:b/>
                <w:bCs/>
                <w:color w:val="000000"/>
              </w:rPr>
              <w:t> </w:t>
            </w:r>
            <w:r w:rsidR="002D7EE0">
              <w:rPr>
                <w:rFonts w:ascii="Calibri" w:eastAsia="Times New Roman" w:hAnsi="Calibri" w:cs="Times New Roman"/>
                <w:b/>
                <w:bCs/>
                <w:color w:val="000000"/>
              </w:rPr>
              <w:t xml:space="preserve">   </w:t>
            </w:r>
            <w:r w:rsidR="002D7EE0">
              <w:rPr>
                <w:rFonts w:ascii="Calibri" w:eastAsia="Times New Roman" w:hAnsi="Calibri" w:cs="Times New Roman"/>
                <w:b/>
                <w:bCs/>
                <w:color w:val="000000"/>
                <w:vertAlign w:val="superscript"/>
              </w:rPr>
              <w:t>1</w:t>
            </w:r>
          </w:p>
        </w:tc>
        <w:tc>
          <w:tcPr>
            <w:tcW w:w="730" w:type="dxa"/>
            <w:hideMark/>
          </w:tcPr>
          <w:p w:rsidR="00654A7B" w:rsidRPr="00654A7B"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c>
          <w:tcPr>
            <w:tcW w:w="730" w:type="dxa"/>
            <w:hideMark/>
          </w:tcPr>
          <w:p w:rsidR="00654A7B" w:rsidRPr="00654A7B" w:rsidRDefault="00654A7B" w:rsidP="00654A7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rPr>
            </w:pPr>
            <w:r w:rsidRPr="00654A7B">
              <w:rPr>
                <w:rFonts w:ascii="Calibri" w:eastAsia="Times New Roman" w:hAnsi="Calibri" w:cs="Times New Roman"/>
                <w:b/>
                <w:bCs/>
                <w:color w:val="000000"/>
              </w:rPr>
              <w:t>+</w:t>
            </w:r>
          </w:p>
        </w:tc>
      </w:tr>
      <w:tr w:rsidR="00654A7B" w:rsidRPr="00654A7B" w:rsidTr="00654A7B">
        <w:trPr>
          <w:trHeight w:val="315"/>
        </w:trPr>
        <w:tc>
          <w:tcPr>
            <w:cnfStyle w:val="001000000000" w:firstRow="0" w:lastRow="0" w:firstColumn="1" w:lastColumn="0" w:oddVBand="0" w:evenVBand="0" w:oddHBand="0" w:evenHBand="0" w:firstRowFirstColumn="0" w:firstRowLastColumn="0" w:lastRowFirstColumn="0" w:lastRowLastColumn="0"/>
            <w:tcW w:w="8340" w:type="dxa"/>
            <w:gridSpan w:val="11"/>
          </w:tcPr>
          <w:p w:rsidR="00654A7B" w:rsidRDefault="006F20B4" w:rsidP="00654A7B">
            <w:pPr>
              <w:rPr>
                <w:sz w:val="18"/>
                <w:szCs w:val="18"/>
              </w:rPr>
            </w:pPr>
            <w:r>
              <w:rPr>
                <w:sz w:val="18"/>
                <w:szCs w:val="18"/>
              </w:rPr>
              <w:t>Source: 2005 through</w:t>
            </w:r>
            <w:r w:rsidR="00654A7B">
              <w:rPr>
                <w:sz w:val="18"/>
                <w:szCs w:val="18"/>
              </w:rPr>
              <w:t xml:space="preserve"> 2015 American Community Survey. For more information on the ACS, see census.gov/</w:t>
            </w:r>
            <w:proofErr w:type="spellStart"/>
            <w:r w:rsidR="00654A7B">
              <w:rPr>
                <w:sz w:val="18"/>
                <w:szCs w:val="18"/>
              </w:rPr>
              <w:t>acs</w:t>
            </w:r>
            <w:proofErr w:type="spellEnd"/>
            <w:r w:rsidR="00654A7B">
              <w:rPr>
                <w:sz w:val="18"/>
                <w:szCs w:val="18"/>
              </w:rPr>
              <w:t>.</w:t>
            </w:r>
          </w:p>
          <w:p w:rsidR="009D4968" w:rsidRDefault="009D4968" w:rsidP="009D4968">
            <w:pPr>
              <w:rPr>
                <w:sz w:val="18"/>
                <w:szCs w:val="18"/>
              </w:rPr>
            </w:pPr>
            <w:r>
              <w:rPr>
                <w:sz w:val="18"/>
                <w:szCs w:val="18"/>
                <w:vertAlign w:val="superscript"/>
              </w:rPr>
              <w:t>1</w:t>
            </w:r>
            <w:r>
              <w:rPr>
                <w:sz w:val="18"/>
                <w:szCs w:val="18"/>
              </w:rPr>
              <w:t xml:space="preserve"> Change is positive for pre-tax, pre-transfer household income.</w:t>
            </w:r>
          </w:p>
          <w:p w:rsidR="009D4968" w:rsidRDefault="009D4968" w:rsidP="009D4968">
            <w:pPr>
              <w:rPr>
                <w:sz w:val="18"/>
                <w:szCs w:val="18"/>
              </w:rPr>
            </w:pPr>
            <w:r>
              <w:rPr>
                <w:sz w:val="18"/>
                <w:szCs w:val="18"/>
                <w:vertAlign w:val="superscript"/>
              </w:rPr>
              <w:t>2</w:t>
            </w:r>
            <w:r>
              <w:rPr>
                <w:sz w:val="18"/>
                <w:szCs w:val="18"/>
              </w:rPr>
              <w:t xml:space="preserve"> Change is negative for pre-tax, pre-transfer household income.</w:t>
            </w:r>
          </w:p>
          <w:p w:rsidR="009D4968" w:rsidRPr="00654A7B" w:rsidRDefault="009D4968" w:rsidP="009D4968">
            <w:pPr>
              <w:rPr>
                <w:rFonts w:ascii="Calibri" w:eastAsia="Times New Roman" w:hAnsi="Calibri" w:cs="Times New Roman"/>
                <w:b w:val="0"/>
                <w:bCs w:val="0"/>
                <w:color w:val="000000"/>
              </w:rPr>
            </w:pPr>
            <w:r>
              <w:rPr>
                <w:sz w:val="18"/>
                <w:szCs w:val="18"/>
                <w:vertAlign w:val="superscript"/>
              </w:rPr>
              <w:t>3</w:t>
            </w:r>
            <w:r>
              <w:rPr>
                <w:sz w:val="18"/>
                <w:szCs w:val="18"/>
              </w:rPr>
              <w:t xml:space="preserve"> No significant change for pre-tax, pre-transfer household income.</w:t>
            </w:r>
          </w:p>
        </w:tc>
      </w:tr>
    </w:tbl>
    <w:p w:rsidR="00654A7B" w:rsidRPr="00B736EC" w:rsidRDefault="00654A7B" w:rsidP="00E02B85">
      <w:pPr>
        <w:spacing w:line="360" w:lineRule="auto"/>
        <w:jc w:val="center"/>
      </w:pPr>
    </w:p>
    <w:p w:rsidR="003957A3" w:rsidRPr="00654A7B" w:rsidRDefault="00323FA3" w:rsidP="00654A7B">
      <w:pPr>
        <w:pStyle w:val="ListParagraph"/>
        <w:numPr>
          <w:ilvl w:val="0"/>
          <w:numId w:val="11"/>
        </w:numPr>
        <w:rPr>
          <w:b/>
        </w:rPr>
      </w:pPr>
      <w:r>
        <w:rPr>
          <w:b/>
        </w:rPr>
        <w:lastRenderedPageBreak/>
        <w:t>Discussion</w:t>
      </w:r>
    </w:p>
    <w:p w:rsidR="00654A7B" w:rsidRDefault="00940557" w:rsidP="00940557">
      <w:pPr>
        <w:spacing w:line="360" w:lineRule="auto"/>
        <w:ind w:firstLine="360"/>
      </w:pPr>
      <w:r>
        <w:t>Although income inequality increases ov</w:t>
      </w:r>
      <w:r w:rsidR="00FC519D">
        <w:t>erall from 2005 to 2015, there we</w:t>
      </w:r>
      <w:r>
        <w:t>re two period in which every income inequa</w:t>
      </w:r>
      <w:r w:rsidR="00502A72">
        <w:t>lity metric in Table 8</w:t>
      </w:r>
      <w:r w:rsidR="00FC519D">
        <w:t xml:space="preserve"> decreased</w:t>
      </w:r>
      <w:r w:rsidR="00323FA3">
        <w:t>:</w:t>
      </w:r>
      <w:r w:rsidR="00397332">
        <w:t xml:space="preserve"> the 2008-2009 </w:t>
      </w:r>
      <w:r w:rsidR="00323FA3">
        <w:t>period an</w:t>
      </w:r>
      <w:r w:rsidR="00502A72">
        <w:t>d the 2013-2014 period.  Table 9</w:t>
      </w:r>
      <w:r w:rsidR="00323FA3">
        <w:t xml:space="preserve"> can help explain this.  </w:t>
      </w:r>
      <w:r w:rsidR="00502A72">
        <w:t xml:space="preserve">In the 2008-2009 </w:t>
      </w:r>
      <w:r w:rsidR="00FC519D">
        <w:t>period, there wa</w:t>
      </w:r>
      <w:r w:rsidR="00323FA3">
        <w:t>s an increase in the share of after-tax, after-transfer household income for the bottom f</w:t>
      </w:r>
      <w:r w:rsidR="00FC519D">
        <w:t>our income quintiles and there wa</w:t>
      </w:r>
      <w:r w:rsidR="00323FA3">
        <w:t xml:space="preserve">s a decrease in the share of income for the top quintile.  </w:t>
      </w:r>
      <w:r w:rsidR="00DD2BAC">
        <w:t>A similar thing happened</w:t>
      </w:r>
      <w:r w:rsidR="00397332">
        <w:t xml:space="preserve"> i</w:t>
      </w:r>
      <w:r w:rsidR="00FC519D">
        <w:t>n 2013-2014, except that there wa</w:t>
      </w:r>
      <w:r w:rsidR="00397332">
        <w:t>s no significant change in the income share of households in the fourth quintile.</w:t>
      </w:r>
    </w:p>
    <w:p w:rsidR="00AA33AC" w:rsidRDefault="00397332" w:rsidP="00323FA3">
      <w:pPr>
        <w:spacing w:line="360" w:lineRule="auto"/>
      </w:pPr>
      <w:r>
        <w:tab/>
      </w:r>
      <w:r w:rsidR="00DD2BAC">
        <w:t>In both periods, the bottom eighty percent of the income distribution gained income share and the top twenty percent, and the top one percen</w:t>
      </w:r>
      <w:r w:rsidR="00FC519D">
        <w:t>t, lost income share.  This did</w:t>
      </w:r>
      <w:r w:rsidR="00DD2BAC">
        <w:t xml:space="preserve"> not happen in any other time period and, consequently, there is no such agreement among all the income inequality metrics in any other time period.</w:t>
      </w:r>
    </w:p>
    <w:p w:rsidR="00FC519D" w:rsidRDefault="00FC519D" w:rsidP="00323FA3">
      <w:pPr>
        <w:spacing w:line="360" w:lineRule="auto"/>
      </w:pPr>
      <w:r>
        <w:tab/>
        <w:t>Conversely, all nine inco</w:t>
      </w:r>
      <w:r w:rsidR="00502A72">
        <w:t>me inequality metrics in Table 8</w:t>
      </w:r>
      <w:r>
        <w:t xml:space="preserve"> increased in the 2007-2008, 2010-2011, and 2014-2015 time periods.  This is explai</w:t>
      </w:r>
      <w:r w:rsidR="00502A72">
        <w:t>ned in Table 9</w:t>
      </w:r>
      <w:r>
        <w:t xml:space="preserve"> where the bottom four quintiles either lost income share or had no significant change in income share and the top quintile gained income share.</w:t>
      </w:r>
    </w:p>
    <w:p w:rsidR="00BF5751" w:rsidRDefault="00BF5751" w:rsidP="00323FA3">
      <w:pPr>
        <w:spacing w:line="360" w:lineRule="auto"/>
      </w:pPr>
    </w:p>
    <w:p w:rsidR="009F335A" w:rsidRDefault="004D04FC" w:rsidP="000846B1">
      <w:pPr>
        <w:rPr>
          <w:b/>
        </w:rPr>
      </w:pPr>
      <w:r>
        <w:rPr>
          <w:b/>
        </w:rPr>
        <w:t>Income Inequality over time by MSA: 2005 vs. 2015</w:t>
      </w:r>
    </w:p>
    <w:p w:rsidR="009F335A" w:rsidRDefault="00441E49" w:rsidP="009B5982">
      <w:pPr>
        <w:spacing w:line="360" w:lineRule="auto"/>
      </w:pPr>
      <w:r>
        <w:tab/>
      </w:r>
      <w:r w:rsidR="000E44DF">
        <w:t>I</w:t>
      </w:r>
      <w:r w:rsidR="009B5982">
        <w:t xml:space="preserve">ncome inequality increased </w:t>
      </w:r>
      <w:r w:rsidR="001F6C4E">
        <w:t xml:space="preserve">for the United States </w:t>
      </w:r>
      <w:r w:rsidR="009B5982">
        <w:t>from 2005 to 2015 according to each income inequality metric.</w:t>
      </w:r>
      <w:r w:rsidR="001F6C4E">
        <w:t xml:space="preserve">  However, all MSAs did not experience this </w:t>
      </w:r>
      <w:r w:rsidR="00792D3B">
        <w:t>same increa</w:t>
      </w:r>
      <w:r w:rsidR="00A50D24">
        <w:t>se.  In Figure 1</w:t>
      </w:r>
      <w:r w:rsidR="001F6C4E">
        <w:t>, each metric</w:t>
      </w:r>
      <w:r w:rsidR="00457A86">
        <w:t xml:space="preserve"> is divided into MSAs that had decreases in income inequality, no statistically significant change in income inequality, and increases in income inequality from 2005 to 2015.</w:t>
      </w:r>
      <w:r w:rsidR="002B4A3C">
        <w:t xml:space="preserve">  </w:t>
      </w:r>
    </w:p>
    <w:p w:rsidR="008F6CFE" w:rsidRDefault="008F6CFE" w:rsidP="009B5982">
      <w:pPr>
        <w:spacing w:line="360" w:lineRule="auto"/>
      </w:pPr>
      <w:r>
        <w:tab/>
        <w:t>There are several points to make about t</w:t>
      </w:r>
      <w:r w:rsidR="006E4DE7">
        <w:t>his figure</w:t>
      </w:r>
      <w:r>
        <w:t>.  First,</w:t>
      </w:r>
      <w:r w:rsidR="00E5751D">
        <w:t xml:space="preserve"> despite the overall increase in income inequality for the country,</w:t>
      </w:r>
      <w:r>
        <w:t xml:space="preserve"> </w:t>
      </w:r>
      <w:r w:rsidR="00E5751D">
        <w:t>income inequality decreased in some MSAs</w:t>
      </w:r>
      <w:r w:rsidR="001C4E5C">
        <w:t xml:space="preserve"> and income inequality did not significantly change over time in others.</w:t>
      </w:r>
      <w:r w:rsidR="00E600AA">
        <w:rPr>
          <w:rStyle w:val="FootnoteReference"/>
        </w:rPr>
        <w:footnoteReference w:id="11"/>
      </w:r>
      <w:r w:rsidR="001C4E5C">
        <w:t xml:space="preserve">  </w:t>
      </w:r>
    </w:p>
    <w:p w:rsidR="00B2664E" w:rsidRDefault="00B2664E" w:rsidP="009B5982">
      <w:pPr>
        <w:spacing w:line="360" w:lineRule="auto"/>
      </w:pPr>
      <w:r>
        <w:tab/>
        <w:t>Second, the mix of changes in income ine</w:t>
      </w:r>
      <w:r w:rsidR="00F5173A">
        <w:t>quality for MSAs varied</w:t>
      </w:r>
      <w:r>
        <w:t xml:space="preserve"> based on the income inequality metric used.</w:t>
      </w:r>
      <w:r w:rsidR="003957A3">
        <w:t xml:space="preserve">  A majority of MSAs had no significant change in income inequality when income inequality was measured with the Gini Index, the Theil Index,</w:t>
      </w:r>
      <w:r w:rsidR="002B4A3C">
        <w:t xml:space="preserve"> the MLD, and the Palma Rat</w:t>
      </w:r>
      <w:r w:rsidR="000E44DF">
        <w:t xml:space="preserve">io.  However, a majority </w:t>
      </w:r>
      <w:r w:rsidR="000E44DF">
        <w:lastRenderedPageBreak/>
        <w:t>of MSAs</w:t>
      </w:r>
      <w:r w:rsidR="002B4A3C">
        <w:t xml:space="preserve"> had an increase in income inequality when income inequality was measured using the 80-20 Ratio, the 90-10 Ratio, and the three non-overlapping ratios.</w:t>
      </w:r>
    </w:p>
    <w:p w:rsidR="006757E8" w:rsidRDefault="002B4A3C" w:rsidP="003957A3">
      <w:pPr>
        <w:spacing w:line="360" w:lineRule="auto"/>
      </w:pPr>
      <w:r>
        <w:tab/>
        <w:t xml:space="preserve">Third, significantly more MSAs had a decrease in the 50-10 ratio than had a decrease in the 90-50 ratio.  In general, the </w:t>
      </w:r>
      <w:r w:rsidR="000E44DF">
        <w:t>t</w:t>
      </w:r>
      <w:r>
        <w:t>op of the income distribution was moving away from the median and the bottom of the income distribution was moving clos</w:t>
      </w:r>
      <w:r w:rsidR="000E44DF">
        <w:t>er to the median for households from 2005 to 2015.</w:t>
      </w:r>
    </w:p>
    <w:p w:rsidR="00A50D24" w:rsidRDefault="00A50D24" w:rsidP="00A50D24">
      <w:pPr>
        <w:spacing w:line="360" w:lineRule="auto"/>
        <w:jc w:val="center"/>
      </w:pPr>
      <w:r>
        <w:rPr>
          <w:noProof/>
        </w:rPr>
        <w:drawing>
          <wp:inline distT="0" distB="0" distL="0" distR="0" wp14:anchorId="164502E7" wp14:editId="6FB87F51">
            <wp:extent cx="5638800" cy="3124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0D02" w:rsidRPr="00A50D24" w:rsidRDefault="003E6071" w:rsidP="00A80D02">
      <w:pPr>
        <w:spacing w:line="360" w:lineRule="auto"/>
        <w:rPr>
          <w:b/>
        </w:rPr>
      </w:pPr>
      <w:r>
        <w:tab/>
      </w:r>
      <w:r w:rsidR="00A50D24">
        <w:rPr>
          <w:b/>
        </w:rPr>
        <w:t>I</w:t>
      </w:r>
      <w:r w:rsidR="00A80D02" w:rsidRPr="00A80D02">
        <w:t xml:space="preserve">n Figure </w:t>
      </w:r>
      <w:r w:rsidR="00A50D24">
        <w:t>2</w:t>
      </w:r>
      <w:r w:rsidR="00A80D02" w:rsidRPr="00A80D02">
        <w:t>, I look at income inequality in different parts of the i</w:t>
      </w:r>
      <w:r w:rsidR="00BE3E80">
        <w:t>ncome distribution among MSAs</w:t>
      </w:r>
      <w:r w:rsidR="00A80D02" w:rsidRPr="00A80D02">
        <w:t>.</w:t>
      </w:r>
      <w:r w:rsidR="00233F94">
        <w:t xml:space="preserve">  Among</w:t>
      </w:r>
      <w:r w:rsidR="004D065B">
        <w:t xml:space="preserve"> the 218</w:t>
      </w:r>
      <w:r w:rsidR="00233F94">
        <w:t xml:space="preserve"> MS</w:t>
      </w:r>
      <w:r w:rsidR="008A21C7">
        <w:t>As that had an in</w:t>
      </w:r>
      <w:r w:rsidR="00233F94">
        <w:t>crease in income inequality in the bottom half of the income distribution (50-10 ratio)</w:t>
      </w:r>
      <w:r w:rsidR="008A21C7">
        <w:t>, 44 MSAs had a decrease in the top half of the</w:t>
      </w:r>
      <w:r w:rsidR="009558B4">
        <w:t xml:space="preserve"> distribution (90-50 ratio), </w:t>
      </w:r>
      <w:r w:rsidR="008A21C7">
        <w:t>58 MSAs</w:t>
      </w:r>
      <w:r w:rsidR="009558B4">
        <w:t xml:space="preserve"> had a decrease in the top of the income distribution (99-90 </w:t>
      </w:r>
      <w:r w:rsidR="009F22AE">
        <w:t>ratio), and 15 MSAs had an de</w:t>
      </w:r>
      <w:r w:rsidR="009558B4">
        <w:t>crease in both (90-50 ratio and 99-90 ratio).</w:t>
      </w:r>
      <w:r w:rsidR="00B154BA">
        <w:t xml:space="preserve">  </w:t>
      </w:r>
    </w:p>
    <w:p w:rsidR="00925BEC" w:rsidRDefault="00925BEC" w:rsidP="00A80D02">
      <w:pPr>
        <w:spacing w:line="360" w:lineRule="auto"/>
      </w:pPr>
      <w:r>
        <w:tab/>
      </w:r>
      <w:r w:rsidR="004D065B">
        <w:t>Among the 134 MSAs that had a decrease in income inequality in the bottom half of the</w:t>
      </w:r>
      <w:r w:rsidR="00D619EB">
        <w:t xml:space="preserve"> income</w:t>
      </w:r>
      <w:r w:rsidR="004D065B">
        <w:t xml:space="preserve"> distribution (50-10 ratio), </w:t>
      </w:r>
      <w:r w:rsidR="009F22AE">
        <w:t>92 MSAs had an increase in income inequality in the top half of the distribution (90-50 ratio), 91 MSAs had an increase in income inequality in the top of the distribution (99-90 ratio), and 63 MSAs had an increase in both (90-50 ratio and 99-90 ratio).</w:t>
      </w:r>
    </w:p>
    <w:p w:rsidR="00183328" w:rsidRDefault="00D619EB" w:rsidP="00A80D02">
      <w:pPr>
        <w:spacing w:line="360" w:lineRule="auto"/>
      </w:pPr>
      <w:r>
        <w:tab/>
      </w:r>
      <w:r w:rsidR="00C36226">
        <w:t>T</w:t>
      </w:r>
      <w:r w:rsidR="00183328">
        <w:t>here are</w:t>
      </w:r>
      <w:r w:rsidR="00C36226">
        <w:t xml:space="preserve"> a large number of MSAs that had</w:t>
      </w:r>
      <w:r w:rsidR="00183328">
        <w:t xml:space="preserve"> different changes happening over time to different parts of the income distribution.  Over half of the MSAs that had a decrease in income inequality in the bottom of the distribution, had an increase in income inequality at the top of the distribution.  </w:t>
      </w:r>
    </w:p>
    <w:p w:rsidR="00275720" w:rsidRDefault="005477CF" w:rsidP="00183328">
      <w:pPr>
        <w:spacing w:line="360" w:lineRule="auto"/>
        <w:jc w:val="center"/>
      </w:pPr>
      <w:r>
        <w:rPr>
          <w:noProof/>
        </w:rPr>
        <w:lastRenderedPageBreak/>
        <w:drawing>
          <wp:inline distT="0" distB="0" distL="0" distR="0" wp14:anchorId="14924628" wp14:editId="17E16659">
            <wp:extent cx="5238750" cy="3271837"/>
            <wp:effectExtent l="0" t="0" r="19050" b="241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2480" w:rsidRPr="00183328" w:rsidRDefault="00192480" w:rsidP="00183328">
      <w:pPr>
        <w:spacing w:line="360" w:lineRule="auto"/>
        <w:jc w:val="center"/>
      </w:pPr>
    </w:p>
    <w:p w:rsidR="00E02B85" w:rsidRDefault="00BE3E80" w:rsidP="00D177B9">
      <w:pPr>
        <w:spacing w:line="360" w:lineRule="auto"/>
      </w:pPr>
      <w:r>
        <w:rPr>
          <w:b/>
        </w:rPr>
        <w:tab/>
      </w:r>
      <w:r w:rsidR="00EE19E3" w:rsidRPr="00EE19E3">
        <w:t>T</w:t>
      </w:r>
      <w:r w:rsidRPr="00BE3E80">
        <w:t xml:space="preserve">aking </w:t>
      </w:r>
      <w:r w:rsidR="00C36226">
        <w:t>Figure 1 and Figure 2</w:t>
      </w:r>
      <w:r w:rsidRPr="00BE3E80">
        <w:t xml:space="preserve"> together, </w:t>
      </w:r>
      <w:r>
        <w:t>it is clear that there is significant variation in changes in income inequality from 2005 to 2015 among MSAs both in general and based on the metric used to measure income inequality.</w:t>
      </w:r>
    </w:p>
    <w:p w:rsidR="006A2249" w:rsidRDefault="001E3FE8" w:rsidP="000846B1">
      <w:pPr>
        <w:rPr>
          <w:b/>
        </w:rPr>
      </w:pPr>
      <w:r>
        <w:rPr>
          <w:b/>
        </w:rPr>
        <w:tab/>
      </w:r>
    </w:p>
    <w:p w:rsidR="00020CC0" w:rsidRDefault="00476A98" w:rsidP="000846B1">
      <w:pPr>
        <w:rPr>
          <w:b/>
        </w:rPr>
      </w:pPr>
      <w:r>
        <w:rPr>
          <w:b/>
        </w:rPr>
        <w:t>Conclusion</w:t>
      </w:r>
    </w:p>
    <w:p w:rsidR="00C36226" w:rsidRDefault="00EE19E3" w:rsidP="00F57800">
      <w:pPr>
        <w:spacing w:after="0" w:line="360" w:lineRule="auto"/>
      </w:pPr>
      <w:r>
        <w:tab/>
      </w:r>
      <w:r w:rsidR="00A86B1F">
        <w:t>The main headline grabbing story is that income in</w:t>
      </w:r>
      <w:r w:rsidR="001611C1">
        <w:t>equality has increased over the last decade</w:t>
      </w:r>
      <w:r w:rsidR="00A86B1F">
        <w:t>.</w:t>
      </w:r>
      <w:r w:rsidR="0009724E">
        <w:t xml:space="preserve">  Many</w:t>
      </w:r>
      <w:r w:rsidR="00400266">
        <w:t xml:space="preserve"> previous studies have found this to be the case and this paper is no different.  However, t</w:t>
      </w:r>
      <w:r w:rsidR="00A86B1F">
        <w:t xml:space="preserve">his </w:t>
      </w:r>
      <w:r w:rsidR="00617091">
        <w:t xml:space="preserve">glosses over significant </w:t>
      </w:r>
      <w:r w:rsidR="00A86B1F">
        <w:t xml:space="preserve">variations </w:t>
      </w:r>
      <w:r w:rsidR="00617091">
        <w:t>in changes in income inequality by income inequality metric,</w:t>
      </w:r>
      <w:r w:rsidR="00F57800">
        <w:t xml:space="preserve"> by type of income,</w:t>
      </w:r>
      <w:r w:rsidR="00617091">
        <w:t xml:space="preserve"> by year, and by MSA.</w:t>
      </w:r>
    </w:p>
    <w:p w:rsidR="00A86B1F" w:rsidRDefault="00617091" w:rsidP="00F57800">
      <w:pPr>
        <w:spacing w:after="0" w:line="360" w:lineRule="auto"/>
      </w:pPr>
      <w:r>
        <w:tab/>
      </w:r>
      <w:r w:rsidR="00F57800">
        <w:t>Income inequality increased over time according to each metric, but the size of the</w:t>
      </w:r>
      <w:r w:rsidR="00290CC2">
        <w:t xml:space="preserve"> increase varied considerably.  The increase in income inequality ranges from four percent to sixteen percent for pre-tax, pre-transfer income and from two percent to fourteen percent for after-tax, after-transfer income.</w:t>
      </w:r>
    </w:p>
    <w:p w:rsidR="00BB6035" w:rsidRDefault="00BB6035" w:rsidP="00F57800">
      <w:pPr>
        <w:spacing w:after="0" w:line="360" w:lineRule="auto"/>
      </w:pPr>
      <w:r>
        <w:tab/>
        <w:t>There was a significant difference in how much income inequality changed based on the type of household income used.  Pre-tax, pre-transfer income inequality increased significantly more than after-</w:t>
      </w:r>
      <w:r>
        <w:lastRenderedPageBreak/>
        <w:t>tax, after-transfer income inequality.  The effect of government programs (taxes and transfers) increased over time as well.</w:t>
      </w:r>
    </w:p>
    <w:p w:rsidR="00BB6035" w:rsidRDefault="00BB6035" w:rsidP="00F57800">
      <w:pPr>
        <w:spacing w:after="0" w:line="360" w:lineRule="auto"/>
      </w:pPr>
      <w:r>
        <w:tab/>
      </w:r>
      <w:r w:rsidR="00D7646A">
        <w:t>Income inequality grew between 2005 and 2015, but it</w:t>
      </w:r>
      <w:r>
        <w:t xml:space="preserve"> was not a steady increase over the entire time period.  For each metric, there were multiple years in which income inequality decreased or did not change significantly.</w:t>
      </w:r>
    </w:p>
    <w:p w:rsidR="00BB6035" w:rsidRDefault="00BB6035" w:rsidP="00F57800">
      <w:pPr>
        <w:spacing w:after="0" w:line="360" w:lineRule="auto"/>
      </w:pPr>
      <w:r>
        <w:tab/>
        <w:t xml:space="preserve">While income inequality increased for the country from 2005 to 2015, there were many MSAs for which income inequality decreased or did not change significantly over that time period. Furthermore, </w:t>
      </w:r>
      <w:r w:rsidR="00797530">
        <w:t>there were differences in a number of MSAs between the direction of change of income inequality in the top of the income distribution and income inequality in the bottom of the distribution.</w:t>
      </w:r>
    </w:p>
    <w:p w:rsidR="00797530" w:rsidRDefault="00797530" w:rsidP="00F57800">
      <w:pPr>
        <w:spacing w:after="0" w:line="360" w:lineRule="auto"/>
      </w:pPr>
      <w:r>
        <w:tab/>
        <w:t xml:space="preserve">This paper continues to be a work in progress.  As such, I have several extensions of this paper that I plan for the future.  Since there are 378 MSAs, it is not practical to look at each MSA in the same manner that I looked at the overall country.  However, in the future, it would be instructive to look at how income inequality changed year by year for select MSAS.  </w:t>
      </w:r>
    </w:p>
    <w:p w:rsidR="00F57800" w:rsidRDefault="00797530" w:rsidP="00797530">
      <w:pPr>
        <w:spacing w:after="0" w:line="360" w:lineRule="auto"/>
        <w:ind w:firstLine="720"/>
      </w:pPr>
      <w:r>
        <w:t>It would also be useful to map the changes in income inequality to determine if there are any patterns to where MSAs with increases or decreases in income inequality are located. Finally, I could also compare pre-tax, pre-transfer income inequality with after-tax, after-transfer income inequality to find out if there are areas where government programs have more or less of an impact over time.</w:t>
      </w:r>
    </w:p>
    <w:p w:rsidR="00290CC2" w:rsidRDefault="002D6163" w:rsidP="00C863A7">
      <w:r>
        <w:tab/>
      </w:r>
    </w:p>
    <w:p w:rsidR="00C36226" w:rsidRPr="00E02B85" w:rsidRDefault="00C36226" w:rsidP="00C863A7"/>
    <w:p w:rsidR="00C863A7" w:rsidRDefault="00C863A7" w:rsidP="00C863A7">
      <w:pPr>
        <w:rPr>
          <w:b/>
        </w:rPr>
      </w:pPr>
      <w:r>
        <w:rPr>
          <w:b/>
        </w:rPr>
        <w:t>References</w:t>
      </w:r>
    </w:p>
    <w:p w:rsidR="00E759CE" w:rsidRDefault="00E759CE" w:rsidP="00E759CE">
      <w:pPr>
        <w:spacing w:after="0" w:line="240" w:lineRule="auto"/>
        <w:rPr>
          <w:rFonts w:cs="Arial"/>
        </w:rPr>
      </w:pPr>
    </w:p>
    <w:p w:rsidR="006B39AB" w:rsidRDefault="00183328" w:rsidP="006B39AB">
      <w:pPr>
        <w:spacing w:after="0" w:line="240" w:lineRule="auto"/>
        <w:rPr>
          <w:rFonts w:cs="Arial"/>
        </w:rPr>
      </w:pPr>
      <w:proofErr w:type="spellStart"/>
      <w:r>
        <w:rPr>
          <w:rFonts w:cs="Arial"/>
        </w:rPr>
        <w:t>Burkhauser</w:t>
      </w:r>
      <w:proofErr w:type="spellEnd"/>
      <w:r>
        <w:rPr>
          <w:rFonts w:cs="Arial"/>
        </w:rPr>
        <w:t xml:space="preserve">, Richard, </w:t>
      </w:r>
      <w:proofErr w:type="spellStart"/>
      <w:r>
        <w:rPr>
          <w:rFonts w:cs="Arial"/>
        </w:rPr>
        <w:t>Shuaizhang</w:t>
      </w:r>
      <w:proofErr w:type="spellEnd"/>
      <w:r>
        <w:rPr>
          <w:rFonts w:cs="Arial"/>
        </w:rPr>
        <w:t xml:space="preserve"> Feng, Stephen Jenkins, and Jeff Larrimore. 2011.  </w:t>
      </w:r>
      <w:r w:rsidR="006B39AB">
        <w:rPr>
          <w:rFonts w:cs="Arial"/>
        </w:rPr>
        <w:t xml:space="preserve">“Estimation Trends in </w:t>
      </w:r>
    </w:p>
    <w:p w:rsidR="006B39AB" w:rsidRDefault="006B39AB" w:rsidP="006B39AB">
      <w:pPr>
        <w:spacing w:after="0" w:line="240" w:lineRule="auto"/>
        <w:ind w:firstLine="720"/>
        <w:rPr>
          <w:rFonts w:cs="Arial"/>
        </w:rPr>
      </w:pPr>
      <w:r>
        <w:rPr>
          <w:rFonts w:cs="Arial"/>
        </w:rPr>
        <w:t xml:space="preserve">U.S. Income Inequality Using the Current Population Survey: The Importance of Controlling for </w:t>
      </w:r>
    </w:p>
    <w:p w:rsidR="006B39AB" w:rsidRDefault="006B39AB" w:rsidP="006B39AB">
      <w:pPr>
        <w:spacing w:after="0" w:line="240" w:lineRule="auto"/>
        <w:ind w:firstLine="720"/>
        <w:rPr>
          <w:rFonts w:cs="Arial"/>
        </w:rPr>
      </w:pPr>
      <w:r>
        <w:rPr>
          <w:rFonts w:cs="Arial"/>
        </w:rPr>
        <w:t xml:space="preserve">Censoring”.  </w:t>
      </w:r>
      <w:r w:rsidRPr="006B39AB">
        <w:rPr>
          <w:rFonts w:cs="Arial"/>
          <w:i/>
        </w:rPr>
        <w:t>Journal of Economic Inequality</w:t>
      </w:r>
      <w:r>
        <w:rPr>
          <w:rFonts w:cs="Arial"/>
        </w:rPr>
        <w:t xml:space="preserve"> 9(3): 393-415.</w:t>
      </w:r>
    </w:p>
    <w:p w:rsidR="0064410C" w:rsidRDefault="0064410C" w:rsidP="0064410C">
      <w:pPr>
        <w:spacing w:after="0" w:line="240" w:lineRule="auto"/>
        <w:rPr>
          <w:rFonts w:cs="Arial"/>
        </w:rPr>
      </w:pPr>
    </w:p>
    <w:p w:rsidR="0064410C" w:rsidRDefault="0064410C" w:rsidP="0064410C">
      <w:pPr>
        <w:spacing w:after="0" w:line="240" w:lineRule="auto"/>
        <w:rPr>
          <w:rFonts w:cs="Arial"/>
        </w:rPr>
      </w:pPr>
      <w:r>
        <w:rPr>
          <w:rFonts w:cs="Arial"/>
        </w:rPr>
        <w:t xml:space="preserve">CBO.  2011.  “Trends in the Distribution of Household Income Between 1979 and 2007”.  Congressional </w:t>
      </w:r>
    </w:p>
    <w:p w:rsidR="0064410C" w:rsidRDefault="0064410C" w:rsidP="0064410C">
      <w:pPr>
        <w:spacing w:after="0" w:line="240" w:lineRule="auto"/>
        <w:ind w:firstLine="720"/>
        <w:rPr>
          <w:rFonts w:cs="Arial"/>
        </w:rPr>
      </w:pPr>
      <w:r>
        <w:rPr>
          <w:rFonts w:cs="Arial"/>
        </w:rPr>
        <w:t>Budget Office Report.</w:t>
      </w:r>
    </w:p>
    <w:p w:rsidR="0081608F" w:rsidRDefault="0081608F" w:rsidP="0081608F">
      <w:pPr>
        <w:spacing w:after="0" w:line="240" w:lineRule="auto"/>
        <w:rPr>
          <w:rFonts w:cs="Arial"/>
        </w:rPr>
      </w:pPr>
    </w:p>
    <w:p w:rsidR="00FF714C" w:rsidRDefault="00FF714C" w:rsidP="00FF714C">
      <w:pPr>
        <w:spacing w:after="0" w:line="240" w:lineRule="auto"/>
        <w:rPr>
          <w:rFonts w:cs="Arial"/>
        </w:rPr>
      </w:pPr>
      <w:r>
        <w:rPr>
          <w:rFonts w:cs="Arial"/>
        </w:rPr>
        <w:t xml:space="preserve">Cunningham, J. Chris.  2015.  “Measuring Wage Inequality within and across U.S. Metropolitan Areas, </w:t>
      </w:r>
    </w:p>
    <w:p w:rsidR="00FF714C" w:rsidRDefault="00FF714C" w:rsidP="00FF714C">
      <w:pPr>
        <w:spacing w:after="0" w:line="240" w:lineRule="auto"/>
        <w:ind w:firstLine="720"/>
        <w:rPr>
          <w:rFonts w:cs="Arial"/>
        </w:rPr>
      </w:pPr>
      <w:r>
        <w:rPr>
          <w:rFonts w:cs="Arial"/>
        </w:rPr>
        <w:t xml:space="preserve">2003-2013”.  </w:t>
      </w:r>
      <w:r w:rsidRPr="00FF714C">
        <w:rPr>
          <w:rFonts w:cs="Arial"/>
          <w:i/>
        </w:rPr>
        <w:t>Monthly Labor Review</w:t>
      </w:r>
      <w:r>
        <w:rPr>
          <w:rFonts w:cs="Arial"/>
        </w:rPr>
        <w:t>.  Bureau of Labor Statistics.</w:t>
      </w:r>
    </w:p>
    <w:p w:rsidR="00FF714C" w:rsidRDefault="00FF714C" w:rsidP="0081608F">
      <w:pPr>
        <w:spacing w:after="0" w:line="240" w:lineRule="auto"/>
        <w:rPr>
          <w:rFonts w:cs="Arial"/>
        </w:rPr>
      </w:pPr>
    </w:p>
    <w:p w:rsidR="0081608F" w:rsidRDefault="0081608F" w:rsidP="0081608F">
      <w:pPr>
        <w:pStyle w:val="FootnoteText"/>
        <w:rPr>
          <w:i/>
          <w:sz w:val="22"/>
          <w:szCs w:val="22"/>
        </w:rPr>
      </w:pPr>
      <w:proofErr w:type="spellStart"/>
      <w:r w:rsidRPr="0081608F">
        <w:rPr>
          <w:sz w:val="22"/>
          <w:szCs w:val="22"/>
        </w:rPr>
        <w:t>Feenberg</w:t>
      </w:r>
      <w:proofErr w:type="spellEnd"/>
      <w:r w:rsidRPr="0081608F">
        <w:rPr>
          <w:sz w:val="22"/>
          <w:szCs w:val="22"/>
        </w:rPr>
        <w:t>, Daniel Richard, and Elizabeth Coutts.  1993. “An Introduction to the TAXSIM Model</w:t>
      </w:r>
      <w:r w:rsidRPr="0081608F">
        <w:rPr>
          <w:i/>
          <w:sz w:val="22"/>
          <w:szCs w:val="22"/>
        </w:rPr>
        <w:t xml:space="preserve">”.  Journal </w:t>
      </w:r>
    </w:p>
    <w:p w:rsidR="0081608F" w:rsidRPr="0081608F" w:rsidRDefault="0081608F" w:rsidP="0081608F">
      <w:pPr>
        <w:pStyle w:val="FootnoteText"/>
        <w:ind w:firstLine="720"/>
        <w:rPr>
          <w:sz w:val="22"/>
          <w:szCs w:val="22"/>
        </w:rPr>
      </w:pPr>
      <w:r w:rsidRPr="0081608F">
        <w:rPr>
          <w:i/>
          <w:sz w:val="22"/>
          <w:szCs w:val="22"/>
        </w:rPr>
        <w:t>of Policy Analysis and Management</w:t>
      </w:r>
      <w:r w:rsidRPr="0081608F">
        <w:rPr>
          <w:sz w:val="22"/>
          <w:szCs w:val="22"/>
        </w:rPr>
        <w:t xml:space="preserve"> 12(1): 189-194.   http://www.nber.org/taxsim/.</w:t>
      </w:r>
    </w:p>
    <w:p w:rsidR="006B39AB" w:rsidRDefault="006B39AB" w:rsidP="006B39AB">
      <w:pPr>
        <w:spacing w:after="0" w:line="240" w:lineRule="auto"/>
        <w:rPr>
          <w:rFonts w:cs="Arial"/>
        </w:rPr>
      </w:pPr>
    </w:p>
    <w:p w:rsidR="006B39AB" w:rsidRDefault="006B39AB" w:rsidP="006B39AB">
      <w:pPr>
        <w:spacing w:after="0" w:line="240" w:lineRule="auto"/>
        <w:rPr>
          <w:rFonts w:cs="Arial"/>
        </w:rPr>
      </w:pPr>
      <w:proofErr w:type="spellStart"/>
      <w:r>
        <w:rPr>
          <w:rFonts w:cs="Arial"/>
        </w:rPr>
        <w:t>Gindelsky</w:t>
      </w:r>
      <w:proofErr w:type="spellEnd"/>
      <w:r>
        <w:rPr>
          <w:rFonts w:cs="Arial"/>
        </w:rPr>
        <w:t xml:space="preserve">, Marina.  2015. “Will Inequality Continue to Rise? Forecasting Income Inequality in the United </w:t>
      </w:r>
    </w:p>
    <w:p w:rsidR="006B39AB" w:rsidRDefault="006B39AB" w:rsidP="006B39AB">
      <w:pPr>
        <w:spacing w:after="0" w:line="240" w:lineRule="auto"/>
        <w:ind w:firstLine="720"/>
        <w:rPr>
          <w:rFonts w:cs="Arial"/>
        </w:rPr>
      </w:pPr>
      <w:r>
        <w:rPr>
          <w:rFonts w:cs="Arial"/>
        </w:rPr>
        <w:t xml:space="preserve">States”.  </w:t>
      </w:r>
      <w:r w:rsidRPr="006B39AB">
        <w:rPr>
          <w:rFonts w:cs="Arial"/>
          <w:i/>
        </w:rPr>
        <w:t>Working Paper</w:t>
      </w:r>
      <w:r>
        <w:rPr>
          <w:rFonts w:cs="Arial"/>
        </w:rPr>
        <w:t>.</w:t>
      </w:r>
    </w:p>
    <w:p w:rsidR="00EE7F87" w:rsidRDefault="00EE7F87" w:rsidP="00EE7F87">
      <w:pPr>
        <w:spacing w:after="0" w:line="240" w:lineRule="auto"/>
        <w:rPr>
          <w:rFonts w:cs="Arial"/>
        </w:rPr>
      </w:pPr>
    </w:p>
    <w:p w:rsidR="004F78A8" w:rsidRDefault="00EE7F87" w:rsidP="00EE7F87">
      <w:pPr>
        <w:spacing w:after="0" w:line="240" w:lineRule="auto"/>
        <w:rPr>
          <w:rFonts w:cs="Arial"/>
        </w:rPr>
      </w:pPr>
      <w:r>
        <w:rPr>
          <w:rFonts w:cs="Arial"/>
        </w:rPr>
        <w:lastRenderedPageBreak/>
        <w:t>Glassman, Brian.  2016. “Income Inequal</w:t>
      </w:r>
      <w:r w:rsidR="004F78A8">
        <w:rPr>
          <w:rFonts w:cs="Arial"/>
        </w:rPr>
        <w:t>ity Metrics and Economic Well-Be</w:t>
      </w:r>
      <w:r>
        <w:rPr>
          <w:rFonts w:cs="Arial"/>
        </w:rPr>
        <w:t xml:space="preserve">ing in U.S. Metropolitan </w:t>
      </w:r>
    </w:p>
    <w:p w:rsidR="00EE7F87" w:rsidRDefault="00EE7F87" w:rsidP="004F78A8">
      <w:pPr>
        <w:spacing w:after="0" w:line="240" w:lineRule="auto"/>
        <w:ind w:firstLine="720"/>
        <w:rPr>
          <w:rFonts w:cs="Arial"/>
        </w:rPr>
      </w:pPr>
      <w:r>
        <w:rPr>
          <w:rFonts w:cs="Arial"/>
        </w:rPr>
        <w:t>Statistical Areas”.</w:t>
      </w:r>
      <w:r w:rsidR="004F78A8">
        <w:rPr>
          <w:rFonts w:cs="Arial"/>
        </w:rPr>
        <w:t xml:space="preserve">  </w:t>
      </w:r>
      <w:r w:rsidR="004F78A8" w:rsidRPr="004F78A8">
        <w:rPr>
          <w:rFonts w:cs="Arial"/>
          <w:i/>
        </w:rPr>
        <w:t>U.S. Census Bureau Working Paper</w:t>
      </w:r>
      <w:r w:rsidR="004F78A8">
        <w:rPr>
          <w:rFonts w:cs="Arial"/>
        </w:rPr>
        <w:t>.</w:t>
      </w:r>
    </w:p>
    <w:p w:rsidR="00372D3F" w:rsidRDefault="00372D3F" w:rsidP="00372D3F">
      <w:pPr>
        <w:spacing w:after="0" w:line="240" w:lineRule="auto"/>
        <w:rPr>
          <w:rFonts w:cs="Arial"/>
        </w:rPr>
      </w:pPr>
    </w:p>
    <w:p w:rsidR="00185C27" w:rsidRDefault="00372D3F" w:rsidP="00372D3F">
      <w:pPr>
        <w:spacing w:after="0" w:line="240" w:lineRule="auto"/>
      </w:pPr>
      <w:r>
        <w:t>Gottschalk</w:t>
      </w:r>
      <w:r w:rsidR="00185C27">
        <w:t>, Peter</w:t>
      </w:r>
      <w:r>
        <w:t xml:space="preserve"> and </w:t>
      </w:r>
      <w:proofErr w:type="spellStart"/>
      <w:r>
        <w:t>Danziger</w:t>
      </w:r>
      <w:proofErr w:type="spellEnd"/>
      <w:r w:rsidR="00185C27">
        <w:t xml:space="preserve">, Sheldon. 2005.  “Inequality of Wage Rates, Earnings, and Family Income </w:t>
      </w:r>
    </w:p>
    <w:p w:rsidR="00372D3F" w:rsidRPr="00185C27" w:rsidRDefault="00185C27" w:rsidP="00185C27">
      <w:pPr>
        <w:spacing w:after="0" w:line="240" w:lineRule="auto"/>
        <w:ind w:firstLine="720"/>
        <w:rPr>
          <w:rFonts w:cs="Arial"/>
        </w:rPr>
      </w:pPr>
      <w:r>
        <w:t xml:space="preserve">in the United States, 1975-2002”.  </w:t>
      </w:r>
      <w:r w:rsidRPr="00185C27">
        <w:rPr>
          <w:i/>
        </w:rPr>
        <w:t>Income and Wealth</w:t>
      </w:r>
      <w:r>
        <w:t xml:space="preserve"> 51(2): 231-254.</w:t>
      </w:r>
    </w:p>
    <w:p w:rsidR="00EE7F87" w:rsidRDefault="00EE7F87" w:rsidP="00EE7F87">
      <w:pPr>
        <w:spacing w:after="0" w:line="240" w:lineRule="auto"/>
        <w:rPr>
          <w:rFonts w:cs="Arial"/>
        </w:rPr>
      </w:pPr>
    </w:p>
    <w:p w:rsidR="00EE7F87" w:rsidRDefault="00EE7F87" w:rsidP="00EE7F87">
      <w:pPr>
        <w:spacing w:after="0"/>
        <w:rPr>
          <w:rFonts w:cs="Helvetica"/>
          <w:color w:val="333333"/>
          <w:lang w:val="en"/>
        </w:rPr>
      </w:pPr>
      <w:proofErr w:type="spellStart"/>
      <w:r>
        <w:rPr>
          <w:rFonts w:cs="Helvetica"/>
          <w:color w:val="333333"/>
          <w:lang w:val="en"/>
        </w:rPr>
        <w:t>Hasenheit</w:t>
      </w:r>
      <w:proofErr w:type="spellEnd"/>
      <w:r>
        <w:rPr>
          <w:rFonts w:cs="Helvetica"/>
          <w:color w:val="333333"/>
          <w:lang w:val="en"/>
        </w:rPr>
        <w:t xml:space="preserve">, Marius.  2014.  “Inequality: Where Palma is better than Gini”.  </w:t>
      </w:r>
    </w:p>
    <w:p w:rsidR="00EE7F87" w:rsidRDefault="00304678" w:rsidP="00EE7F87">
      <w:pPr>
        <w:spacing w:after="0"/>
        <w:ind w:firstLine="720"/>
        <w:rPr>
          <w:rFonts w:cs="Helvetica"/>
          <w:color w:val="333333"/>
          <w:lang w:val="en"/>
        </w:rPr>
      </w:pPr>
      <w:hyperlink r:id="rId11" w:history="1">
        <w:r w:rsidR="00EE7F87" w:rsidRPr="004C38D5">
          <w:rPr>
            <w:rStyle w:val="Hyperlink"/>
            <w:rFonts w:cs="Helvetica"/>
            <w:lang w:val="en"/>
          </w:rPr>
          <w:t>http://netgreen-project.eu/blog/2014/06/18/inequality-where-palma-better-gini</w:t>
        </w:r>
      </w:hyperlink>
      <w:r w:rsidR="00EE7F87">
        <w:rPr>
          <w:rFonts w:cs="Helvetica"/>
          <w:color w:val="333333"/>
          <w:lang w:val="en"/>
        </w:rPr>
        <w:t>.</w:t>
      </w:r>
    </w:p>
    <w:p w:rsidR="000D44D7" w:rsidRDefault="000D44D7" w:rsidP="000D44D7">
      <w:pPr>
        <w:spacing w:after="0"/>
        <w:rPr>
          <w:rFonts w:cs="Helvetica"/>
          <w:color w:val="333333"/>
          <w:lang w:val="en"/>
        </w:rPr>
      </w:pPr>
    </w:p>
    <w:p w:rsidR="000D44D7" w:rsidRDefault="000D44D7" w:rsidP="000D44D7">
      <w:pPr>
        <w:spacing w:after="0"/>
        <w:rPr>
          <w:rFonts w:cs="Helvetica"/>
          <w:color w:val="333333"/>
          <w:lang w:val="en"/>
        </w:rPr>
      </w:pPr>
      <w:r>
        <w:rPr>
          <w:rFonts w:cs="Helvetica"/>
          <w:color w:val="333333"/>
          <w:lang w:val="en"/>
        </w:rPr>
        <w:t xml:space="preserve">Heathcote, Jonathan, </w:t>
      </w:r>
      <w:proofErr w:type="spellStart"/>
      <w:r>
        <w:rPr>
          <w:rFonts w:cs="Helvetica"/>
          <w:color w:val="333333"/>
          <w:lang w:val="en"/>
        </w:rPr>
        <w:t>Perri</w:t>
      </w:r>
      <w:proofErr w:type="spellEnd"/>
      <w:r>
        <w:rPr>
          <w:rFonts w:cs="Helvetica"/>
          <w:color w:val="333333"/>
          <w:lang w:val="en"/>
        </w:rPr>
        <w:t xml:space="preserve">, </w:t>
      </w:r>
      <w:proofErr w:type="spellStart"/>
      <w:r>
        <w:rPr>
          <w:rFonts w:cs="Helvetica"/>
          <w:color w:val="333333"/>
          <w:lang w:val="en"/>
        </w:rPr>
        <w:t>Fabrizio</w:t>
      </w:r>
      <w:proofErr w:type="spellEnd"/>
      <w:r>
        <w:rPr>
          <w:rFonts w:cs="Helvetica"/>
          <w:color w:val="333333"/>
          <w:lang w:val="en"/>
        </w:rPr>
        <w:t xml:space="preserve">, and </w:t>
      </w:r>
      <w:proofErr w:type="spellStart"/>
      <w:r>
        <w:rPr>
          <w:rFonts w:cs="Helvetica"/>
          <w:color w:val="333333"/>
          <w:lang w:val="en"/>
        </w:rPr>
        <w:t>Violante</w:t>
      </w:r>
      <w:proofErr w:type="spellEnd"/>
      <w:r>
        <w:rPr>
          <w:rFonts w:cs="Helvetica"/>
          <w:color w:val="333333"/>
          <w:lang w:val="en"/>
        </w:rPr>
        <w:t xml:space="preserve">, Giovanni L. 2010.  “Unequal We Stand: An Empirical </w:t>
      </w:r>
    </w:p>
    <w:p w:rsidR="000D44D7" w:rsidRDefault="000D44D7" w:rsidP="000D44D7">
      <w:pPr>
        <w:spacing w:after="0"/>
        <w:ind w:left="720"/>
        <w:rPr>
          <w:rFonts w:cs="Helvetica"/>
          <w:color w:val="333333"/>
          <w:lang w:val="en"/>
        </w:rPr>
      </w:pPr>
      <w:r>
        <w:rPr>
          <w:rFonts w:cs="Helvetica"/>
          <w:color w:val="333333"/>
          <w:lang w:val="en"/>
        </w:rPr>
        <w:t>Analysis of Economic Inequality in the United States, 1967-2006”.  Review of Economic Dynamics 13(1): 15-51.</w:t>
      </w:r>
    </w:p>
    <w:p w:rsidR="002A6BDF" w:rsidRDefault="002A6BDF" w:rsidP="002A6BDF">
      <w:pPr>
        <w:spacing w:after="0"/>
        <w:rPr>
          <w:rFonts w:cs="Helvetica"/>
          <w:color w:val="333333"/>
          <w:lang w:val="en"/>
        </w:rPr>
      </w:pPr>
    </w:p>
    <w:p w:rsidR="002A6BDF" w:rsidRDefault="002A6BDF" w:rsidP="002A6BDF">
      <w:pPr>
        <w:spacing w:after="0"/>
        <w:rPr>
          <w:rFonts w:cs="Helvetica"/>
          <w:color w:val="333333"/>
          <w:lang w:val="en"/>
        </w:rPr>
      </w:pPr>
      <w:r>
        <w:rPr>
          <w:rFonts w:cs="Helvetica"/>
          <w:color w:val="333333"/>
          <w:lang w:val="en"/>
        </w:rPr>
        <w:t xml:space="preserve">Holmes, Natalie, and </w:t>
      </w:r>
      <w:proofErr w:type="spellStart"/>
      <w:r>
        <w:rPr>
          <w:rFonts w:cs="Helvetica"/>
          <w:color w:val="333333"/>
          <w:lang w:val="en"/>
        </w:rPr>
        <w:t>Berube</w:t>
      </w:r>
      <w:proofErr w:type="spellEnd"/>
      <w:r>
        <w:rPr>
          <w:rFonts w:cs="Helvetica"/>
          <w:color w:val="333333"/>
          <w:lang w:val="en"/>
        </w:rPr>
        <w:t xml:space="preserve">, Alan.  2016.  “City and metropolitan inequality on the rise, driven by </w:t>
      </w:r>
    </w:p>
    <w:p w:rsidR="002A6BDF" w:rsidRDefault="002A6BDF" w:rsidP="002A6BDF">
      <w:pPr>
        <w:spacing w:after="0"/>
        <w:ind w:firstLine="720"/>
        <w:rPr>
          <w:rFonts w:cs="Helvetica"/>
          <w:color w:val="333333"/>
          <w:lang w:val="en"/>
        </w:rPr>
      </w:pPr>
      <w:r>
        <w:rPr>
          <w:rFonts w:cs="Helvetica"/>
          <w:color w:val="333333"/>
          <w:lang w:val="en"/>
        </w:rPr>
        <w:t>declining incomes”.  Brookings Institution Report.</w:t>
      </w:r>
    </w:p>
    <w:p w:rsidR="00EE7F87" w:rsidRPr="00C86A9B" w:rsidRDefault="00EE7F87" w:rsidP="00EE7F87">
      <w:pPr>
        <w:spacing w:after="0"/>
        <w:ind w:firstLine="720"/>
        <w:rPr>
          <w:rFonts w:cs="Helvetica"/>
          <w:color w:val="333333"/>
          <w:lang w:val="en"/>
        </w:rPr>
      </w:pPr>
    </w:p>
    <w:p w:rsidR="00EE7F87" w:rsidRDefault="00EE7F87" w:rsidP="00EE7F87">
      <w:pPr>
        <w:pStyle w:val="Quote"/>
        <w:spacing w:after="0"/>
      </w:pPr>
      <w:proofErr w:type="spellStart"/>
      <w:r w:rsidRPr="00C950A0">
        <w:rPr>
          <w:i w:val="0"/>
        </w:rPr>
        <w:t>Krozer</w:t>
      </w:r>
      <w:proofErr w:type="spellEnd"/>
      <w:r w:rsidRPr="00C950A0">
        <w:rPr>
          <w:i w:val="0"/>
        </w:rPr>
        <w:t>, Alice</w:t>
      </w:r>
      <w:r>
        <w:rPr>
          <w:i w:val="0"/>
        </w:rPr>
        <w:t>.  2015.  “</w:t>
      </w:r>
      <w:r w:rsidRPr="00C950A0">
        <w:rPr>
          <w:i w:val="0"/>
        </w:rPr>
        <w:t>The Inequality We Want: How Much is too Much?”</w:t>
      </w:r>
      <w:r>
        <w:rPr>
          <w:i w:val="0"/>
        </w:rPr>
        <w:t xml:space="preserve">. </w:t>
      </w:r>
      <w:r w:rsidRPr="00C950A0">
        <w:rPr>
          <w:i w:val="0"/>
        </w:rPr>
        <w:t xml:space="preserve"> </w:t>
      </w:r>
      <w:r w:rsidRPr="007B676F">
        <w:t xml:space="preserve">Journal of International </w:t>
      </w:r>
    </w:p>
    <w:p w:rsidR="00EE7F87" w:rsidRDefault="00EE7F87" w:rsidP="00EE7F87">
      <w:pPr>
        <w:pStyle w:val="Quote"/>
        <w:spacing w:after="0" w:line="240" w:lineRule="auto"/>
        <w:ind w:firstLine="720"/>
        <w:rPr>
          <w:i w:val="0"/>
        </w:rPr>
      </w:pPr>
      <w:r w:rsidRPr="007B676F">
        <w:t>Commerce, Economics, &amp; Policy</w:t>
      </w:r>
      <w:r>
        <w:rPr>
          <w:i w:val="0"/>
        </w:rPr>
        <w:t xml:space="preserve"> 6(3): 1550016-1 – 1550016-27.</w:t>
      </w:r>
    </w:p>
    <w:p w:rsidR="007F3113" w:rsidRDefault="007F3113" w:rsidP="007F3113"/>
    <w:p w:rsidR="00E40B6D" w:rsidRDefault="007F3113" w:rsidP="00E40B6D">
      <w:pPr>
        <w:spacing w:after="0"/>
      </w:pPr>
      <w:r>
        <w:t xml:space="preserve">Mather, Mark and </w:t>
      </w:r>
      <w:proofErr w:type="spellStart"/>
      <w:r>
        <w:t>Jarosz</w:t>
      </w:r>
      <w:proofErr w:type="spellEnd"/>
      <w:r>
        <w:t>, Beth.  2014.  “</w:t>
      </w:r>
      <w:r w:rsidR="00E40B6D">
        <w:t>The Demography of Inequality in the United States”.</w:t>
      </w:r>
      <w:r>
        <w:t xml:space="preserve">  PRB </w:t>
      </w:r>
    </w:p>
    <w:p w:rsidR="00372D3F" w:rsidRDefault="00E40B6D" w:rsidP="00E40B6D">
      <w:pPr>
        <w:spacing w:after="0"/>
        <w:ind w:firstLine="720"/>
      </w:pPr>
      <w:r>
        <w:t>Population Bulletin 69(2).</w:t>
      </w:r>
    </w:p>
    <w:p w:rsidR="002650BB" w:rsidRDefault="002650BB" w:rsidP="002650BB">
      <w:pPr>
        <w:spacing w:after="0"/>
      </w:pPr>
    </w:p>
    <w:p w:rsidR="002650BB" w:rsidRDefault="002650BB" w:rsidP="002650BB">
      <w:pPr>
        <w:spacing w:after="0"/>
      </w:pPr>
      <w:r>
        <w:t>McNichol, Elizabeth, Hall, Douglas, Cooper, David, and Palacios, Vincent. 2012.  “Puling Apart: A State-</w:t>
      </w:r>
    </w:p>
    <w:p w:rsidR="00E40B6D" w:rsidRDefault="002650BB" w:rsidP="002650BB">
      <w:pPr>
        <w:spacing w:after="0"/>
        <w:ind w:firstLine="720"/>
      </w:pPr>
      <w:r>
        <w:t>by-State Analysis of Income Trends”.  Center on Budget and Policy Priorities Report.</w:t>
      </w:r>
    </w:p>
    <w:p w:rsidR="002650BB" w:rsidRDefault="002650BB" w:rsidP="002650BB">
      <w:pPr>
        <w:spacing w:after="0"/>
        <w:ind w:firstLine="720"/>
      </w:pPr>
    </w:p>
    <w:p w:rsidR="00654232" w:rsidRDefault="00654232" w:rsidP="00E40B6D">
      <w:pPr>
        <w:spacing w:after="0"/>
      </w:pPr>
      <w:r>
        <w:t xml:space="preserve">Meyer, Bruce D. and Sullivan, James X.  2013.  “Consumption and Income Inequality in the U.S. since the </w:t>
      </w:r>
    </w:p>
    <w:p w:rsidR="00372D3F" w:rsidRPr="00372D3F" w:rsidRDefault="00654232" w:rsidP="00E40B6D">
      <w:pPr>
        <w:spacing w:after="0"/>
        <w:ind w:firstLine="720"/>
      </w:pPr>
      <w:r>
        <w:t xml:space="preserve">1960s”.  </w:t>
      </w:r>
      <w:r w:rsidRPr="00654232">
        <w:rPr>
          <w:i/>
        </w:rPr>
        <w:t>Working paper</w:t>
      </w:r>
      <w:r>
        <w:t>.</w:t>
      </w:r>
    </w:p>
    <w:p w:rsidR="006B39AB" w:rsidRDefault="006B39AB" w:rsidP="00E759CE">
      <w:pPr>
        <w:spacing w:after="0" w:line="240" w:lineRule="auto"/>
        <w:rPr>
          <w:rFonts w:cs="Arial"/>
        </w:rPr>
      </w:pPr>
    </w:p>
    <w:p w:rsidR="00E759CE" w:rsidRDefault="00E759CE" w:rsidP="00E759CE">
      <w:pPr>
        <w:spacing w:after="0" w:line="240" w:lineRule="auto"/>
        <w:rPr>
          <w:rFonts w:cs="Arial"/>
        </w:rPr>
      </w:pPr>
      <w:r>
        <w:rPr>
          <w:rFonts w:cs="Arial"/>
        </w:rPr>
        <w:t xml:space="preserve">Piketty, Thomas and </w:t>
      </w:r>
      <w:proofErr w:type="spellStart"/>
      <w:r>
        <w:rPr>
          <w:rFonts w:cs="Arial"/>
        </w:rPr>
        <w:t>Saez</w:t>
      </w:r>
      <w:proofErr w:type="spellEnd"/>
      <w:r>
        <w:rPr>
          <w:rFonts w:cs="Arial"/>
        </w:rPr>
        <w:t xml:space="preserve">, Emmanuel.  2003.  “Income Inequality in the United States, 1913-1998”.  </w:t>
      </w:r>
    </w:p>
    <w:p w:rsidR="00E759CE" w:rsidRDefault="00E759CE" w:rsidP="00E759CE">
      <w:pPr>
        <w:spacing w:after="0" w:line="240" w:lineRule="auto"/>
        <w:ind w:firstLine="720"/>
        <w:rPr>
          <w:rFonts w:cs="Arial"/>
        </w:rPr>
      </w:pPr>
      <w:r w:rsidRPr="00E759CE">
        <w:rPr>
          <w:rFonts w:cs="Arial"/>
          <w:i/>
        </w:rPr>
        <w:t>Quarterly Journal of Economics</w:t>
      </w:r>
      <w:r>
        <w:rPr>
          <w:rFonts w:cs="Arial"/>
        </w:rPr>
        <w:t xml:space="preserve"> 118(1): 1-39.</w:t>
      </w:r>
    </w:p>
    <w:p w:rsidR="0081608F" w:rsidRDefault="0081608F" w:rsidP="0081608F">
      <w:pPr>
        <w:spacing w:after="0" w:line="240" w:lineRule="auto"/>
        <w:rPr>
          <w:rFonts w:cs="Arial"/>
        </w:rPr>
      </w:pPr>
    </w:p>
    <w:p w:rsidR="0081608F" w:rsidRDefault="0081608F" w:rsidP="0081608F">
      <w:pPr>
        <w:pStyle w:val="FootnoteText"/>
        <w:rPr>
          <w:sz w:val="22"/>
          <w:szCs w:val="22"/>
        </w:rPr>
      </w:pPr>
      <w:r w:rsidRPr="0081608F">
        <w:rPr>
          <w:sz w:val="22"/>
          <w:szCs w:val="22"/>
        </w:rPr>
        <w:t xml:space="preserve">Short, Kathleen.  2014.  “The Supplemental Poverty Measure: 2013”.  </w:t>
      </w:r>
      <w:r w:rsidRPr="0081608F">
        <w:rPr>
          <w:i/>
          <w:sz w:val="22"/>
          <w:szCs w:val="22"/>
        </w:rPr>
        <w:t>Current Population Reports</w:t>
      </w:r>
      <w:r w:rsidRPr="0081608F">
        <w:rPr>
          <w:sz w:val="22"/>
          <w:szCs w:val="22"/>
        </w:rPr>
        <w:t xml:space="preserve">.  U.S. </w:t>
      </w:r>
    </w:p>
    <w:p w:rsidR="0081608F" w:rsidRPr="0081608F" w:rsidRDefault="0081608F" w:rsidP="0081608F">
      <w:pPr>
        <w:pStyle w:val="FootnoteText"/>
        <w:ind w:firstLine="720"/>
        <w:rPr>
          <w:sz w:val="22"/>
          <w:szCs w:val="22"/>
        </w:rPr>
      </w:pPr>
      <w:r w:rsidRPr="0081608F">
        <w:rPr>
          <w:sz w:val="22"/>
          <w:szCs w:val="22"/>
        </w:rPr>
        <w:t>Census Bureau.</w:t>
      </w:r>
    </w:p>
    <w:p w:rsidR="0064410C" w:rsidRDefault="0064410C" w:rsidP="00E759CE">
      <w:pPr>
        <w:spacing w:after="0" w:line="240" w:lineRule="auto"/>
        <w:ind w:firstLine="720"/>
        <w:rPr>
          <w:rFonts w:cs="Arial"/>
        </w:rPr>
      </w:pPr>
    </w:p>
    <w:p w:rsidR="0064410C" w:rsidRDefault="0064410C" w:rsidP="00EE7F87">
      <w:pPr>
        <w:spacing w:after="0" w:line="240" w:lineRule="auto"/>
        <w:rPr>
          <w:rFonts w:cs="Arial"/>
          <w:i/>
        </w:rPr>
      </w:pPr>
      <w:r>
        <w:rPr>
          <w:rFonts w:cs="Arial"/>
        </w:rPr>
        <w:t xml:space="preserve">Weinberg, Daniel.  2011. “U.S. Neighborhood Income Inequality in the 2005-2009 Period”.  </w:t>
      </w:r>
      <w:r w:rsidRPr="0064410C">
        <w:rPr>
          <w:rFonts w:cs="Arial"/>
          <w:i/>
        </w:rPr>
        <w:t xml:space="preserve">American </w:t>
      </w:r>
    </w:p>
    <w:p w:rsidR="00EE7F87" w:rsidRDefault="0064410C" w:rsidP="0064410C">
      <w:pPr>
        <w:spacing w:after="0" w:line="240" w:lineRule="auto"/>
        <w:ind w:firstLine="720"/>
        <w:rPr>
          <w:rFonts w:cs="Arial"/>
        </w:rPr>
      </w:pPr>
      <w:r w:rsidRPr="0064410C">
        <w:rPr>
          <w:rFonts w:cs="Arial"/>
          <w:i/>
        </w:rPr>
        <w:t>Community Survey Reports</w:t>
      </w:r>
      <w:r>
        <w:rPr>
          <w:rFonts w:cs="Arial"/>
        </w:rPr>
        <w:t>.  U.S. Census Bureau.</w:t>
      </w:r>
    </w:p>
    <w:p w:rsidR="0064410C" w:rsidRDefault="0064410C" w:rsidP="00EE7F87">
      <w:pPr>
        <w:spacing w:after="0" w:line="240" w:lineRule="auto"/>
        <w:rPr>
          <w:rFonts w:cs="Arial"/>
        </w:rPr>
      </w:pPr>
    </w:p>
    <w:p w:rsidR="00EE7F87" w:rsidRDefault="00EE7F87" w:rsidP="00EE7F87">
      <w:pPr>
        <w:spacing w:after="0" w:line="240" w:lineRule="auto"/>
        <w:rPr>
          <w:rStyle w:val="citation"/>
          <w:lang w:val="en"/>
        </w:rPr>
      </w:pPr>
      <w:r>
        <w:rPr>
          <w:rStyle w:val="citation"/>
          <w:lang w:val="en"/>
        </w:rPr>
        <w:t xml:space="preserve">World Bank Institute.  2005.  “Introduction to Poverty Analysis”.  Poverty Manual. </w:t>
      </w:r>
    </w:p>
    <w:p w:rsidR="00DD5482" w:rsidRPr="00C863A7" w:rsidRDefault="00EE7F87" w:rsidP="000C02CC">
      <w:pPr>
        <w:spacing w:after="0" w:line="240" w:lineRule="auto"/>
        <w:ind w:firstLine="720"/>
        <w:rPr>
          <w:b/>
        </w:rPr>
      </w:pPr>
      <w:r w:rsidRPr="005F720E">
        <w:rPr>
          <w:rStyle w:val="citation"/>
          <w:lang w:val="en"/>
        </w:rPr>
        <w:t>http://siteresources.worldbank.org/PGLP/Resources/PovertyManual.pdf</w:t>
      </w:r>
      <w:r w:rsidR="00C36226">
        <w:rPr>
          <w:rStyle w:val="citation"/>
          <w:lang w:val="en"/>
        </w:rPr>
        <w:t>.</w:t>
      </w:r>
      <w:r>
        <w:rPr>
          <w:rStyle w:val="citation"/>
          <w:lang w:val="en"/>
        </w:rPr>
        <w:br/>
      </w:r>
    </w:p>
    <w:sectPr w:rsidR="00DD5482" w:rsidRPr="00C863A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7CF" w:rsidRDefault="005477CF" w:rsidP="002126C7">
      <w:pPr>
        <w:spacing w:after="0" w:line="240" w:lineRule="auto"/>
      </w:pPr>
      <w:r>
        <w:separator/>
      </w:r>
    </w:p>
  </w:endnote>
  <w:endnote w:type="continuationSeparator" w:id="0">
    <w:p w:rsidR="005477CF" w:rsidRDefault="005477CF" w:rsidP="0021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7CF" w:rsidRDefault="005477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287133"/>
      <w:docPartObj>
        <w:docPartGallery w:val="Page Numbers (Bottom of Page)"/>
        <w:docPartUnique/>
      </w:docPartObj>
    </w:sdtPr>
    <w:sdtEndPr>
      <w:rPr>
        <w:noProof/>
      </w:rPr>
    </w:sdtEndPr>
    <w:sdtContent>
      <w:p w:rsidR="005477CF" w:rsidRDefault="005477CF">
        <w:pPr>
          <w:pStyle w:val="Footer"/>
          <w:jc w:val="right"/>
        </w:pPr>
        <w:r>
          <w:fldChar w:fldCharType="begin"/>
        </w:r>
        <w:r>
          <w:instrText xml:space="preserve"> PAGE   \* MERGEFORMAT </w:instrText>
        </w:r>
        <w:r>
          <w:fldChar w:fldCharType="separate"/>
        </w:r>
        <w:r w:rsidR="00304678">
          <w:rPr>
            <w:noProof/>
          </w:rPr>
          <w:t>1</w:t>
        </w:r>
        <w:r>
          <w:rPr>
            <w:noProof/>
          </w:rPr>
          <w:fldChar w:fldCharType="end"/>
        </w:r>
      </w:p>
    </w:sdtContent>
  </w:sdt>
  <w:p w:rsidR="005477CF" w:rsidRDefault="005477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7CF" w:rsidRDefault="00547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7CF" w:rsidRDefault="005477CF" w:rsidP="002126C7">
      <w:pPr>
        <w:spacing w:after="0" w:line="240" w:lineRule="auto"/>
      </w:pPr>
      <w:r>
        <w:separator/>
      </w:r>
    </w:p>
  </w:footnote>
  <w:footnote w:type="continuationSeparator" w:id="0">
    <w:p w:rsidR="005477CF" w:rsidRDefault="005477CF" w:rsidP="002126C7">
      <w:pPr>
        <w:spacing w:after="0" w:line="240" w:lineRule="auto"/>
      </w:pPr>
      <w:r>
        <w:continuationSeparator/>
      </w:r>
    </w:p>
  </w:footnote>
  <w:footnote w:id="1">
    <w:p w:rsidR="005477CF" w:rsidRDefault="005477CF">
      <w:pPr>
        <w:pStyle w:val="FootnoteText"/>
      </w:pPr>
      <w:r>
        <w:rPr>
          <w:rStyle w:val="FootnoteReference"/>
        </w:rPr>
        <w:footnoteRef/>
      </w:r>
      <w:r>
        <w:t xml:space="preserve"> For more information on the ACS, see census.gov/</w:t>
      </w:r>
      <w:proofErr w:type="spellStart"/>
      <w:r>
        <w:t>acs</w:t>
      </w:r>
      <w:proofErr w:type="spellEnd"/>
      <w:r>
        <w:t>.</w:t>
      </w:r>
    </w:p>
  </w:footnote>
  <w:footnote w:id="2">
    <w:p w:rsidR="005477CF" w:rsidRDefault="005477CF">
      <w:pPr>
        <w:pStyle w:val="FootnoteText"/>
      </w:pPr>
      <w:r>
        <w:rPr>
          <w:rStyle w:val="FootnoteReference"/>
        </w:rPr>
        <w:footnoteRef/>
      </w:r>
      <w:r>
        <w:t xml:space="preserve"> For information on metropolitan and </w:t>
      </w:r>
      <w:proofErr w:type="spellStart"/>
      <w:r>
        <w:t>micropolitan</w:t>
      </w:r>
      <w:proofErr w:type="spellEnd"/>
      <w:r>
        <w:t xml:space="preserve"> statistical areas, see </w:t>
      </w:r>
      <w:r w:rsidRPr="00BD71D7">
        <w:t>https://www.census.gov/population/metro/about/</w:t>
      </w:r>
      <w:r>
        <w:t>.</w:t>
      </w:r>
    </w:p>
  </w:footnote>
  <w:footnote w:id="3">
    <w:p w:rsidR="005477CF" w:rsidRDefault="005477CF" w:rsidP="00B551E9">
      <w:pPr>
        <w:pStyle w:val="FootnoteText"/>
      </w:pPr>
      <w:r>
        <w:rPr>
          <w:rStyle w:val="FootnoteReference"/>
        </w:rPr>
        <w:footnoteRef/>
      </w:r>
      <w:r>
        <w:t xml:space="preserve"> </w:t>
      </w:r>
      <w:proofErr w:type="spellStart"/>
      <w:r>
        <w:t>Feenberg</w:t>
      </w:r>
      <w:proofErr w:type="spellEnd"/>
      <w:r>
        <w:t>, Daniel Richard, and Elizabeth Coutts.  1993. “An Introduction to the TAXSIM Model</w:t>
      </w:r>
      <w:r w:rsidRPr="001E0544">
        <w:rPr>
          <w:i/>
        </w:rPr>
        <w:t>”.  Journal of Policy Analysis and Management</w:t>
      </w:r>
      <w:r>
        <w:t xml:space="preserve"> 12(1): 189-194.   http://www.nber.org/taxsim/.</w:t>
      </w:r>
    </w:p>
  </w:footnote>
  <w:footnote w:id="4">
    <w:p w:rsidR="005477CF" w:rsidRDefault="005477CF">
      <w:pPr>
        <w:pStyle w:val="FootnoteText"/>
      </w:pPr>
      <w:r>
        <w:rPr>
          <w:rStyle w:val="FootnoteReference"/>
        </w:rPr>
        <w:footnoteRef/>
      </w:r>
      <w:r>
        <w:t xml:space="preserve"> This paper uses internal Census data, which is run through a local TAXSIM program.  At this time, our internal TAXSIM has state and federal tax laws for 1977 to 2013.  2014 and 2015 data are run using 2013 state and federal income tax laws.</w:t>
      </w:r>
    </w:p>
  </w:footnote>
  <w:footnote w:id="5">
    <w:p w:rsidR="005477CF" w:rsidRDefault="005477CF">
      <w:pPr>
        <w:pStyle w:val="FootnoteText"/>
      </w:pPr>
      <w:r>
        <w:rPr>
          <w:rStyle w:val="FootnoteReference"/>
        </w:rPr>
        <w:footnoteRef/>
      </w:r>
      <w:r>
        <w:t xml:space="preserve"> SNAP/food stamp benefits are not included.</w:t>
      </w:r>
    </w:p>
  </w:footnote>
  <w:footnote w:id="6">
    <w:p w:rsidR="005477CF" w:rsidRPr="005F7B3D" w:rsidRDefault="005477CF" w:rsidP="00B551E9">
      <w:pPr>
        <w:pStyle w:val="FootnoteText"/>
      </w:pPr>
      <w:r>
        <w:rPr>
          <w:rStyle w:val="FootnoteReference"/>
        </w:rPr>
        <w:footnoteRef/>
      </w:r>
      <w:r>
        <w:t xml:space="preserve"> Short, Kathleen.  2014.  “The Supplemental Poverty Measure: 2013”.  </w:t>
      </w:r>
      <w:r>
        <w:rPr>
          <w:i/>
        </w:rPr>
        <w:t>Current Population Reports</w:t>
      </w:r>
      <w:r>
        <w:t>.  U.S. Census Bureau.</w:t>
      </w:r>
    </w:p>
  </w:footnote>
  <w:footnote w:id="7">
    <w:p w:rsidR="005477CF" w:rsidRDefault="005477CF">
      <w:pPr>
        <w:pStyle w:val="FootnoteText"/>
      </w:pPr>
      <w:r>
        <w:rPr>
          <w:rStyle w:val="FootnoteReference"/>
        </w:rPr>
        <w:footnoteRef/>
      </w:r>
      <w:r>
        <w:t xml:space="preserve"> RPP’s are available for 2008 through 2013.  2013 RPP’s were used for 2014 and 2015.  2008 RPP’s were used for 2005, 2006, and 2007.  </w:t>
      </w:r>
    </w:p>
  </w:footnote>
  <w:footnote w:id="8">
    <w:p w:rsidR="005477CF" w:rsidRDefault="005477CF">
      <w:pPr>
        <w:pStyle w:val="FootnoteText"/>
      </w:pPr>
      <w:r>
        <w:rPr>
          <w:rStyle w:val="FootnoteReference"/>
        </w:rPr>
        <w:footnoteRef/>
      </w:r>
      <w:r>
        <w:t xml:space="preserve"> For more information about RPPs, see </w:t>
      </w:r>
      <w:r w:rsidRPr="00326215">
        <w:t>https://www.bea.gov/regional/pdf/RPP2016_methodology.pdf</w:t>
      </w:r>
      <w:r>
        <w:t>.</w:t>
      </w:r>
    </w:p>
  </w:footnote>
  <w:footnote w:id="9">
    <w:p w:rsidR="005477CF" w:rsidRDefault="005477CF">
      <w:pPr>
        <w:pStyle w:val="FootnoteText"/>
      </w:pPr>
      <w:r>
        <w:rPr>
          <w:rStyle w:val="FootnoteReference"/>
        </w:rPr>
        <w:footnoteRef/>
      </w:r>
      <w:r>
        <w:t xml:space="preserve"> Not all comparisons of percent changes by metrics are statistically significant.</w:t>
      </w:r>
    </w:p>
  </w:footnote>
  <w:footnote w:id="10">
    <w:p w:rsidR="005477CF" w:rsidRDefault="005477CF">
      <w:pPr>
        <w:pStyle w:val="FootnoteText"/>
      </w:pPr>
      <w:r>
        <w:rPr>
          <w:rStyle w:val="FootnoteReference"/>
        </w:rPr>
        <w:footnoteRef/>
      </w:r>
      <w:r>
        <w:t xml:space="preserve"> The Palma Ratio and the 90-10 Ratio are not statistically significantly different.</w:t>
      </w:r>
    </w:p>
  </w:footnote>
  <w:footnote w:id="11">
    <w:p w:rsidR="005477CF" w:rsidRDefault="005477CF">
      <w:pPr>
        <w:pStyle w:val="FootnoteText"/>
      </w:pPr>
      <w:r>
        <w:rPr>
          <w:rStyle w:val="FootnoteReference"/>
        </w:rPr>
        <w:footnoteRef/>
      </w:r>
      <w:r>
        <w:t xml:space="preserve"> Standard errors vary significantly across measures.  The Gini Index, Theil Index, MLD, and Palma Ratio use all incomes directly and therefore have larger standard errors than the metrics that use percentile income ratio estimates (80-20, 90-10, 90-50, 50-10, 99-90).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7CF" w:rsidRDefault="005477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7CF" w:rsidRDefault="005477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7CF" w:rsidRDefault="00547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468"/>
    <w:multiLevelType w:val="hybridMultilevel"/>
    <w:tmpl w:val="7CC03922"/>
    <w:lvl w:ilvl="0" w:tplc="8698DAE8">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D762A6"/>
    <w:multiLevelType w:val="hybridMultilevel"/>
    <w:tmpl w:val="1D604D3C"/>
    <w:lvl w:ilvl="0" w:tplc="45D46966">
      <w:start w:val="1"/>
      <w:numFmt w:val="decimal"/>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3328F7"/>
    <w:multiLevelType w:val="hybridMultilevel"/>
    <w:tmpl w:val="1A64B100"/>
    <w:lvl w:ilvl="0" w:tplc="4B9E805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361113"/>
    <w:multiLevelType w:val="hybridMultilevel"/>
    <w:tmpl w:val="648CC7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EE2A46"/>
    <w:multiLevelType w:val="hybridMultilevel"/>
    <w:tmpl w:val="D2708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AA603D"/>
    <w:multiLevelType w:val="hybridMultilevel"/>
    <w:tmpl w:val="5DB0A4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E17560"/>
    <w:multiLevelType w:val="hybridMultilevel"/>
    <w:tmpl w:val="4E347B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C26F86"/>
    <w:multiLevelType w:val="hybridMultilevel"/>
    <w:tmpl w:val="B3D6A188"/>
    <w:lvl w:ilvl="0" w:tplc="E58CB58E">
      <w:numFmt w:val="bullet"/>
      <w:lvlText w:val="-"/>
      <w:lvlJc w:val="left"/>
      <w:pPr>
        <w:ind w:left="1080" w:hanging="360"/>
      </w:pPr>
      <w:rPr>
        <w:rFonts w:ascii="Calibri" w:eastAsia="Times New Roman" w:hAnsi="Calibri" w:cs="Times New Roman"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3F85CB7"/>
    <w:multiLevelType w:val="hybridMultilevel"/>
    <w:tmpl w:val="0B8E8B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44D7D"/>
    <w:multiLevelType w:val="hybridMultilevel"/>
    <w:tmpl w:val="56545952"/>
    <w:lvl w:ilvl="0" w:tplc="8056F562">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C46565"/>
    <w:multiLevelType w:val="hybridMultilevel"/>
    <w:tmpl w:val="670EF3BE"/>
    <w:lvl w:ilvl="0" w:tplc="633A00F8">
      <w:start w:val="200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FE44F9"/>
    <w:multiLevelType w:val="hybridMultilevel"/>
    <w:tmpl w:val="62B66FF2"/>
    <w:lvl w:ilvl="0" w:tplc="9A423A9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73843"/>
    <w:multiLevelType w:val="hybridMultilevel"/>
    <w:tmpl w:val="262E0390"/>
    <w:lvl w:ilvl="0" w:tplc="46FCC48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4D29F7"/>
    <w:multiLevelType w:val="hybridMultilevel"/>
    <w:tmpl w:val="6FFED7A0"/>
    <w:lvl w:ilvl="0" w:tplc="CB5E53FC">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7B5536"/>
    <w:multiLevelType w:val="hybridMultilevel"/>
    <w:tmpl w:val="A2DA2BD6"/>
    <w:lvl w:ilvl="0" w:tplc="1AA22234">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6202C3"/>
    <w:multiLevelType w:val="hybridMultilevel"/>
    <w:tmpl w:val="0B8E8B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CF7FE1"/>
    <w:multiLevelType w:val="hybridMultilevel"/>
    <w:tmpl w:val="C956A702"/>
    <w:lvl w:ilvl="0" w:tplc="86A25EA8">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3"/>
  </w:num>
  <w:num w:numId="5">
    <w:abstractNumId w:val="0"/>
  </w:num>
  <w:num w:numId="6">
    <w:abstractNumId w:val="4"/>
  </w:num>
  <w:num w:numId="7">
    <w:abstractNumId w:val="15"/>
  </w:num>
  <w:num w:numId="8">
    <w:abstractNumId w:val="9"/>
  </w:num>
  <w:num w:numId="9">
    <w:abstractNumId w:val="2"/>
  </w:num>
  <w:num w:numId="10">
    <w:abstractNumId w:val="12"/>
  </w:num>
  <w:num w:numId="11">
    <w:abstractNumId w:val="5"/>
  </w:num>
  <w:num w:numId="12">
    <w:abstractNumId w:val="1"/>
  </w:num>
  <w:num w:numId="13">
    <w:abstractNumId w:val="13"/>
  </w:num>
  <w:num w:numId="14">
    <w:abstractNumId w:val="16"/>
  </w:num>
  <w:num w:numId="15">
    <w:abstractNumId w:val="14"/>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24d658fc-34e0-407e-ad43-3b4b1733c54b"/>
  </w:docVars>
  <w:rsids>
    <w:rsidRoot w:val="00C42FBA"/>
    <w:rsid w:val="00016DF2"/>
    <w:rsid w:val="00017BC8"/>
    <w:rsid w:val="00020CC0"/>
    <w:rsid w:val="0002190E"/>
    <w:rsid w:val="0003684E"/>
    <w:rsid w:val="00040C08"/>
    <w:rsid w:val="00040F0A"/>
    <w:rsid w:val="00044648"/>
    <w:rsid w:val="00047064"/>
    <w:rsid w:val="00050A30"/>
    <w:rsid w:val="00056BB8"/>
    <w:rsid w:val="000635EF"/>
    <w:rsid w:val="00065194"/>
    <w:rsid w:val="00066D33"/>
    <w:rsid w:val="000721AB"/>
    <w:rsid w:val="00075A47"/>
    <w:rsid w:val="000846B1"/>
    <w:rsid w:val="0009724E"/>
    <w:rsid w:val="0009787B"/>
    <w:rsid w:val="000A491D"/>
    <w:rsid w:val="000C02CC"/>
    <w:rsid w:val="000C1953"/>
    <w:rsid w:val="000D164A"/>
    <w:rsid w:val="000D44D7"/>
    <w:rsid w:val="000E44DF"/>
    <w:rsid w:val="000E49BD"/>
    <w:rsid w:val="00110A48"/>
    <w:rsid w:val="00111490"/>
    <w:rsid w:val="001115EC"/>
    <w:rsid w:val="001127B3"/>
    <w:rsid w:val="00114F68"/>
    <w:rsid w:val="00121826"/>
    <w:rsid w:val="001258F5"/>
    <w:rsid w:val="00127095"/>
    <w:rsid w:val="001353ED"/>
    <w:rsid w:val="00143793"/>
    <w:rsid w:val="001473D0"/>
    <w:rsid w:val="00150042"/>
    <w:rsid w:val="001611C1"/>
    <w:rsid w:val="00167578"/>
    <w:rsid w:val="001746E2"/>
    <w:rsid w:val="001754E9"/>
    <w:rsid w:val="001756DB"/>
    <w:rsid w:val="00176E8C"/>
    <w:rsid w:val="00183328"/>
    <w:rsid w:val="00185C27"/>
    <w:rsid w:val="00192480"/>
    <w:rsid w:val="001A0660"/>
    <w:rsid w:val="001A50B6"/>
    <w:rsid w:val="001A5A77"/>
    <w:rsid w:val="001B523D"/>
    <w:rsid w:val="001C14B9"/>
    <w:rsid w:val="001C4E5C"/>
    <w:rsid w:val="001D3155"/>
    <w:rsid w:val="001D5C0A"/>
    <w:rsid w:val="001E3FE8"/>
    <w:rsid w:val="001E6E6B"/>
    <w:rsid w:val="001E79F6"/>
    <w:rsid w:val="001F1B1D"/>
    <w:rsid w:val="001F2E95"/>
    <w:rsid w:val="001F6C4E"/>
    <w:rsid w:val="001F75DF"/>
    <w:rsid w:val="001F7874"/>
    <w:rsid w:val="00206C9F"/>
    <w:rsid w:val="002077ED"/>
    <w:rsid w:val="002126C7"/>
    <w:rsid w:val="00215BB7"/>
    <w:rsid w:val="00222DB1"/>
    <w:rsid w:val="00233F94"/>
    <w:rsid w:val="00234B32"/>
    <w:rsid w:val="002454CA"/>
    <w:rsid w:val="002536B8"/>
    <w:rsid w:val="00253AB4"/>
    <w:rsid w:val="00254B75"/>
    <w:rsid w:val="002551C2"/>
    <w:rsid w:val="00255D12"/>
    <w:rsid w:val="002650BB"/>
    <w:rsid w:val="00275720"/>
    <w:rsid w:val="002775B4"/>
    <w:rsid w:val="002840AD"/>
    <w:rsid w:val="00287A4B"/>
    <w:rsid w:val="00290CC2"/>
    <w:rsid w:val="002947C1"/>
    <w:rsid w:val="002A437E"/>
    <w:rsid w:val="002A5D1D"/>
    <w:rsid w:val="002A6BDF"/>
    <w:rsid w:val="002B4A3C"/>
    <w:rsid w:val="002C5DB5"/>
    <w:rsid w:val="002C616B"/>
    <w:rsid w:val="002C6482"/>
    <w:rsid w:val="002C696D"/>
    <w:rsid w:val="002C6DCA"/>
    <w:rsid w:val="002D6163"/>
    <w:rsid w:val="002D7EE0"/>
    <w:rsid w:val="002E7A4C"/>
    <w:rsid w:val="00302867"/>
    <w:rsid w:val="00303BFB"/>
    <w:rsid w:val="00304678"/>
    <w:rsid w:val="00314011"/>
    <w:rsid w:val="003201FA"/>
    <w:rsid w:val="00323EBD"/>
    <w:rsid w:val="00323FA3"/>
    <w:rsid w:val="00326215"/>
    <w:rsid w:val="00334FCC"/>
    <w:rsid w:val="003500EF"/>
    <w:rsid w:val="0035542E"/>
    <w:rsid w:val="003577EE"/>
    <w:rsid w:val="00372D3F"/>
    <w:rsid w:val="003733FC"/>
    <w:rsid w:val="00380604"/>
    <w:rsid w:val="0038700C"/>
    <w:rsid w:val="003957A3"/>
    <w:rsid w:val="00396C00"/>
    <w:rsid w:val="00397088"/>
    <w:rsid w:val="00397332"/>
    <w:rsid w:val="003A4BF6"/>
    <w:rsid w:val="003B5924"/>
    <w:rsid w:val="003C0E7F"/>
    <w:rsid w:val="003C2484"/>
    <w:rsid w:val="003C2BED"/>
    <w:rsid w:val="003D29D3"/>
    <w:rsid w:val="003E6071"/>
    <w:rsid w:val="003E7E90"/>
    <w:rsid w:val="00400266"/>
    <w:rsid w:val="00403426"/>
    <w:rsid w:val="00407BD5"/>
    <w:rsid w:val="00412F4F"/>
    <w:rsid w:val="004211A5"/>
    <w:rsid w:val="00422596"/>
    <w:rsid w:val="00431888"/>
    <w:rsid w:val="00441E49"/>
    <w:rsid w:val="004438A6"/>
    <w:rsid w:val="004554A0"/>
    <w:rsid w:val="00455D55"/>
    <w:rsid w:val="004569B1"/>
    <w:rsid w:val="00457A86"/>
    <w:rsid w:val="004719F3"/>
    <w:rsid w:val="00476A98"/>
    <w:rsid w:val="004800B9"/>
    <w:rsid w:val="004949F1"/>
    <w:rsid w:val="00496E33"/>
    <w:rsid w:val="00497478"/>
    <w:rsid w:val="00497A7E"/>
    <w:rsid w:val="004A2B7E"/>
    <w:rsid w:val="004B0FDB"/>
    <w:rsid w:val="004B407F"/>
    <w:rsid w:val="004B7789"/>
    <w:rsid w:val="004C01C4"/>
    <w:rsid w:val="004D04FC"/>
    <w:rsid w:val="004D065B"/>
    <w:rsid w:val="004D5AA6"/>
    <w:rsid w:val="004D5EC3"/>
    <w:rsid w:val="004D78CF"/>
    <w:rsid w:val="004E1FBA"/>
    <w:rsid w:val="004E444B"/>
    <w:rsid w:val="004F411B"/>
    <w:rsid w:val="004F78A8"/>
    <w:rsid w:val="00502A72"/>
    <w:rsid w:val="00506AC6"/>
    <w:rsid w:val="005141AA"/>
    <w:rsid w:val="00521957"/>
    <w:rsid w:val="00521FD2"/>
    <w:rsid w:val="00532F65"/>
    <w:rsid w:val="0053342B"/>
    <w:rsid w:val="0053436C"/>
    <w:rsid w:val="005404D8"/>
    <w:rsid w:val="005415CF"/>
    <w:rsid w:val="005477CF"/>
    <w:rsid w:val="00551110"/>
    <w:rsid w:val="00555464"/>
    <w:rsid w:val="00564D2C"/>
    <w:rsid w:val="005661B4"/>
    <w:rsid w:val="005713E8"/>
    <w:rsid w:val="00577B7E"/>
    <w:rsid w:val="0058283E"/>
    <w:rsid w:val="00587918"/>
    <w:rsid w:val="00593E79"/>
    <w:rsid w:val="00597314"/>
    <w:rsid w:val="005976FB"/>
    <w:rsid w:val="005A2DCF"/>
    <w:rsid w:val="005A54B3"/>
    <w:rsid w:val="005A62B2"/>
    <w:rsid w:val="005B34CE"/>
    <w:rsid w:val="005D47E0"/>
    <w:rsid w:val="005D5BB5"/>
    <w:rsid w:val="005D6689"/>
    <w:rsid w:val="005E6510"/>
    <w:rsid w:val="005F0C10"/>
    <w:rsid w:val="005F5B1C"/>
    <w:rsid w:val="0060170C"/>
    <w:rsid w:val="006024FB"/>
    <w:rsid w:val="00611518"/>
    <w:rsid w:val="006160F4"/>
    <w:rsid w:val="00616CBF"/>
    <w:rsid w:val="00617091"/>
    <w:rsid w:val="00617181"/>
    <w:rsid w:val="00625448"/>
    <w:rsid w:val="006261F2"/>
    <w:rsid w:val="006315D1"/>
    <w:rsid w:val="00632A8F"/>
    <w:rsid w:val="00643BEA"/>
    <w:rsid w:val="0064410C"/>
    <w:rsid w:val="00654232"/>
    <w:rsid w:val="00654A7B"/>
    <w:rsid w:val="00667D49"/>
    <w:rsid w:val="006757E8"/>
    <w:rsid w:val="00683457"/>
    <w:rsid w:val="00683612"/>
    <w:rsid w:val="006944C7"/>
    <w:rsid w:val="006A2249"/>
    <w:rsid w:val="006A4F26"/>
    <w:rsid w:val="006B1CEA"/>
    <w:rsid w:val="006B39AB"/>
    <w:rsid w:val="006B454C"/>
    <w:rsid w:val="006B4D07"/>
    <w:rsid w:val="006C1664"/>
    <w:rsid w:val="006C1A16"/>
    <w:rsid w:val="006C2E82"/>
    <w:rsid w:val="006C51BF"/>
    <w:rsid w:val="006D1619"/>
    <w:rsid w:val="006E12FB"/>
    <w:rsid w:val="006E4DE7"/>
    <w:rsid w:val="006F20B4"/>
    <w:rsid w:val="00710CD2"/>
    <w:rsid w:val="00716C0D"/>
    <w:rsid w:val="00721F60"/>
    <w:rsid w:val="007245FD"/>
    <w:rsid w:val="007325B9"/>
    <w:rsid w:val="00741380"/>
    <w:rsid w:val="00750C12"/>
    <w:rsid w:val="007532B2"/>
    <w:rsid w:val="00764389"/>
    <w:rsid w:val="00784AEF"/>
    <w:rsid w:val="00787D06"/>
    <w:rsid w:val="00792D3B"/>
    <w:rsid w:val="007932AF"/>
    <w:rsid w:val="00795B2A"/>
    <w:rsid w:val="00797530"/>
    <w:rsid w:val="007A3A3D"/>
    <w:rsid w:val="007A706F"/>
    <w:rsid w:val="007A7CC9"/>
    <w:rsid w:val="007D57B8"/>
    <w:rsid w:val="007E57C7"/>
    <w:rsid w:val="007E6142"/>
    <w:rsid w:val="007F3113"/>
    <w:rsid w:val="007F43C9"/>
    <w:rsid w:val="007F57ED"/>
    <w:rsid w:val="00800E79"/>
    <w:rsid w:val="00811A27"/>
    <w:rsid w:val="0081598F"/>
    <w:rsid w:val="0081608F"/>
    <w:rsid w:val="00816C53"/>
    <w:rsid w:val="00821113"/>
    <w:rsid w:val="008246FC"/>
    <w:rsid w:val="00834824"/>
    <w:rsid w:val="00837C42"/>
    <w:rsid w:val="00841C9D"/>
    <w:rsid w:val="0084417F"/>
    <w:rsid w:val="008448E3"/>
    <w:rsid w:val="0084641A"/>
    <w:rsid w:val="00855D7C"/>
    <w:rsid w:val="00873487"/>
    <w:rsid w:val="008A21C7"/>
    <w:rsid w:val="008B465D"/>
    <w:rsid w:val="008B5406"/>
    <w:rsid w:val="008C2028"/>
    <w:rsid w:val="008D0079"/>
    <w:rsid w:val="008D7945"/>
    <w:rsid w:val="008E56A9"/>
    <w:rsid w:val="008E6690"/>
    <w:rsid w:val="008E7B09"/>
    <w:rsid w:val="008F3AAE"/>
    <w:rsid w:val="008F404E"/>
    <w:rsid w:val="008F46F5"/>
    <w:rsid w:val="008F6CFE"/>
    <w:rsid w:val="008F6F02"/>
    <w:rsid w:val="008F7026"/>
    <w:rsid w:val="008F7B14"/>
    <w:rsid w:val="00901C45"/>
    <w:rsid w:val="00902278"/>
    <w:rsid w:val="00904C28"/>
    <w:rsid w:val="00907E3A"/>
    <w:rsid w:val="0092342F"/>
    <w:rsid w:val="00924DC1"/>
    <w:rsid w:val="00925BEC"/>
    <w:rsid w:val="00935D0A"/>
    <w:rsid w:val="00940557"/>
    <w:rsid w:val="00940D33"/>
    <w:rsid w:val="009477AD"/>
    <w:rsid w:val="00947A0D"/>
    <w:rsid w:val="0095214A"/>
    <w:rsid w:val="00952CA6"/>
    <w:rsid w:val="00953567"/>
    <w:rsid w:val="009558B4"/>
    <w:rsid w:val="00963C67"/>
    <w:rsid w:val="00963D2D"/>
    <w:rsid w:val="00963E99"/>
    <w:rsid w:val="00966753"/>
    <w:rsid w:val="00973724"/>
    <w:rsid w:val="00974AC7"/>
    <w:rsid w:val="00975EDB"/>
    <w:rsid w:val="00977D54"/>
    <w:rsid w:val="00983CF4"/>
    <w:rsid w:val="00987968"/>
    <w:rsid w:val="009903BD"/>
    <w:rsid w:val="0099101A"/>
    <w:rsid w:val="009A5149"/>
    <w:rsid w:val="009B55B7"/>
    <w:rsid w:val="009B5982"/>
    <w:rsid w:val="009C4B7B"/>
    <w:rsid w:val="009D166F"/>
    <w:rsid w:val="009D2D59"/>
    <w:rsid w:val="009D4968"/>
    <w:rsid w:val="009D6FC8"/>
    <w:rsid w:val="009E30FD"/>
    <w:rsid w:val="009E3B0E"/>
    <w:rsid w:val="009E67D1"/>
    <w:rsid w:val="009F22AE"/>
    <w:rsid w:val="009F335A"/>
    <w:rsid w:val="00A050F4"/>
    <w:rsid w:val="00A06E7B"/>
    <w:rsid w:val="00A13E7A"/>
    <w:rsid w:val="00A17D20"/>
    <w:rsid w:val="00A20374"/>
    <w:rsid w:val="00A25899"/>
    <w:rsid w:val="00A3204F"/>
    <w:rsid w:val="00A356C9"/>
    <w:rsid w:val="00A35DA2"/>
    <w:rsid w:val="00A36603"/>
    <w:rsid w:val="00A412B5"/>
    <w:rsid w:val="00A46CEC"/>
    <w:rsid w:val="00A50D24"/>
    <w:rsid w:val="00A54864"/>
    <w:rsid w:val="00A555A2"/>
    <w:rsid w:val="00A62329"/>
    <w:rsid w:val="00A653EE"/>
    <w:rsid w:val="00A80D02"/>
    <w:rsid w:val="00A84358"/>
    <w:rsid w:val="00A86B1F"/>
    <w:rsid w:val="00A91C98"/>
    <w:rsid w:val="00A952B7"/>
    <w:rsid w:val="00AA33AC"/>
    <w:rsid w:val="00AB0FC8"/>
    <w:rsid w:val="00AC15EA"/>
    <w:rsid w:val="00AC53C5"/>
    <w:rsid w:val="00AD276A"/>
    <w:rsid w:val="00AD572D"/>
    <w:rsid w:val="00AD79D1"/>
    <w:rsid w:val="00AF7366"/>
    <w:rsid w:val="00B03485"/>
    <w:rsid w:val="00B12022"/>
    <w:rsid w:val="00B12618"/>
    <w:rsid w:val="00B154BA"/>
    <w:rsid w:val="00B256E3"/>
    <w:rsid w:val="00B25DB1"/>
    <w:rsid w:val="00B2664E"/>
    <w:rsid w:val="00B37B06"/>
    <w:rsid w:val="00B43542"/>
    <w:rsid w:val="00B50862"/>
    <w:rsid w:val="00B551E9"/>
    <w:rsid w:val="00B57536"/>
    <w:rsid w:val="00B63575"/>
    <w:rsid w:val="00B701A1"/>
    <w:rsid w:val="00B725DA"/>
    <w:rsid w:val="00B736CA"/>
    <w:rsid w:val="00B736EC"/>
    <w:rsid w:val="00B75983"/>
    <w:rsid w:val="00B76743"/>
    <w:rsid w:val="00B83328"/>
    <w:rsid w:val="00B840B5"/>
    <w:rsid w:val="00B93C2D"/>
    <w:rsid w:val="00B93FA7"/>
    <w:rsid w:val="00B97918"/>
    <w:rsid w:val="00B97A84"/>
    <w:rsid w:val="00BA2257"/>
    <w:rsid w:val="00BA2460"/>
    <w:rsid w:val="00BA4FBD"/>
    <w:rsid w:val="00BB2E23"/>
    <w:rsid w:val="00BB6035"/>
    <w:rsid w:val="00BB6EF8"/>
    <w:rsid w:val="00BB73E3"/>
    <w:rsid w:val="00BC329B"/>
    <w:rsid w:val="00BD71D7"/>
    <w:rsid w:val="00BE3E80"/>
    <w:rsid w:val="00BF3FD3"/>
    <w:rsid w:val="00BF5751"/>
    <w:rsid w:val="00BF7E46"/>
    <w:rsid w:val="00C01966"/>
    <w:rsid w:val="00C03D6F"/>
    <w:rsid w:val="00C05CB7"/>
    <w:rsid w:val="00C12D67"/>
    <w:rsid w:val="00C21B16"/>
    <w:rsid w:val="00C229E0"/>
    <w:rsid w:val="00C325BC"/>
    <w:rsid w:val="00C33F74"/>
    <w:rsid w:val="00C357F3"/>
    <w:rsid w:val="00C36226"/>
    <w:rsid w:val="00C405F4"/>
    <w:rsid w:val="00C42FBA"/>
    <w:rsid w:val="00C521E8"/>
    <w:rsid w:val="00C61271"/>
    <w:rsid w:val="00C66897"/>
    <w:rsid w:val="00C72CBF"/>
    <w:rsid w:val="00C752A8"/>
    <w:rsid w:val="00C84EBB"/>
    <w:rsid w:val="00C863A7"/>
    <w:rsid w:val="00C924BD"/>
    <w:rsid w:val="00C95914"/>
    <w:rsid w:val="00CA54A8"/>
    <w:rsid w:val="00CA6965"/>
    <w:rsid w:val="00CB2BCA"/>
    <w:rsid w:val="00CB56FE"/>
    <w:rsid w:val="00CB5DE0"/>
    <w:rsid w:val="00CC1AE5"/>
    <w:rsid w:val="00CC766A"/>
    <w:rsid w:val="00CD6C6C"/>
    <w:rsid w:val="00CF4B9F"/>
    <w:rsid w:val="00CF704E"/>
    <w:rsid w:val="00D108A7"/>
    <w:rsid w:val="00D177B9"/>
    <w:rsid w:val="00D22393"/>
    <w:rsid w:val="00D23470"/>
    <w:rsid w:val="00D26056"/>
    <w:rsid w:val="00D2740B"/>
    <w:rsid w:val="00D32911"/>
    <w:rsid w:val="00D35E73"/>
    <w:rsid w:val="00D37EB2"/>
    <w:rsid w:val="00D467AE"/>
    <w:rsid w:val="00D619EB"/>
    <w:rsid w:val="00D7646A"/>
    <w:rsid w:val="00D85F54"/>
    <w:rsid w:val="00D90D8E"/>
    <w:rsid w:val="00D90E3A"/>
    <w:rsid w:val="00D96D2B"/>
    <w:rsid w:val="00D97B8D"/>
    <w:rsid w:val="00DA51D7"/>
    <w:rsid w:val="00DA61FC"/>
    <w:rsid w:val="00DA785A"/>
    <w:rsid w:val="00DB3EFA"/>
    <w:rsid w:val="00DB58A4"/>
    <w:rsid w:val="00DD01D6"/>
    <w:rsid w:val="00DD23DC"/>
    <w:rsid w:val="00DD2BAC"/>
    <w:rsid w:val="00DD3135"/>
    <w:rsid w:val="00DD5482"/>
    <w:rsid w:val="00DE01A8"/>
    <w:rsid w:val="00DE3E5E"/>
    <w:rsid w:val="00DF3671"/>
    <w:rsid w:val="00E02893"/>
    <w:rsid w:val="00E02B85"/>
    <w:rsid w:val="00E06D01"/>
    <w:rsid w:val="00E073DA"/>
    <w:rsid w:val="00E15EA2"/>
    <w:rsid w:val="00E21BED"/>
    <w:rsid w:val="00E22794"/>
    <w:rsid w:val="00E2422A"/>
    <w:rsid w:val="00E31FB8"/>
    <w:rsid w:val="00E33E46"/>
    <w:rsid w:val="00E40B6D"/>
    <w:rsid w:val="00E47D86"/>
    <w:rsid w:val="00E516DC"/>
    <w:rsid w:val="00E5751D"/>
    <w:rsid w:val="00E600AA"/>
    <w:rsid w:val="00E66692"/>
    <w:rsid w:val="00E7420F"/>
    <w:rsid w:val="00E759CE"/>
    <w:rsid w:val="00E767BF"/>
    <w:rsid w:val="00E80199"/>
    <w:rsid w:val="00E84175"/>
    <w:rsid w:val="00E90A2A"/>
    <w:rsid w:val="00EA6F8F"/>
    <w:rsid w:val="00EB4052"/>
    <w:rsid w:val="00EB6837"/>
    <w:rsid w:val="00EB7A9F"/>
    <w:rsid w:val="00EC1604"/>
    <w:rsid w:val="00EC72CF"/>
    <w:rsid w:val="00ED635F"/>
    <w:rsid w:val="00EE19E3"/>
    <w:rsid w:val="00EE2967"/>
    <w:rsid w:val="00EE4257"/>
    <w:rsid w:val="00EE6F0A"/>
    <w:rsid w:val="00EE7F87"/>
    <w:rsid w:val="00EF61F3"/>
    <w:rsid w:val="00F04EEA"/>
    <w:rsid w:val="00F15735"/>
    <w:rsid w:val="00F175B1"/>
    <w:rsid w:val="00F17D2B"/>
    <w:rsid w:val="00F20BAC"/>
    <w:rsid w:val="00F41195"/>
    <w:rsid w:val="00F5173A"/>
    <w:rsid w:val="00F51C6E"/>
    <w:rsid w:val="00F57800"/>
    <w:rsid w:val="00F70BDC"/>
    <w:rsid w:val="00F73CD6"/>
    <w:rsid w:val="00F75658"/>
    <w:rsid w:val="00F778D4"/>
    <w:rsid w:val="00F9646B"/>
    <w:rsid w:val="00F97A71"/>
    <w:rsid w:val="00FA3767"/>
    <w:rsid w:val="00FB6D46"/>
    <w:rsid w:val="00FC4462"/>
    <w:rsid w:val="00FC519D"/>
    <w:rsid w:val="00FD25FC"/>
    <w:rsid w:val="00FE7979"/>
    <w:rsid w:val="00FF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FBA"/>
    <w:rPr>
      <w:rFonts w:ascii="Tahoma" w:hAnsi="Tahoma" w:cs="Tahoma"/>
      <w:sz w:val="16"/>
      <w:szCs w:val="16"/>
    </w:rPr>
  </w:style>
  <w:style w:type="paragraph" w:styleId="ListParagraph">
    <w:name w:val="List Paragraph"/>
    <w:basedOn w:val="Normal"/>
    <w:uiPriority w:val="34"/>
    <w:qFormat/>
    <w:rsid w:val="00DA51D7"/>
    <w:pPr>
      <w:ind w:left="720"/>
      <w:contextualSpacing/>
    </w:pPr>
  </w:style>
  <w:style w:type="paragraph" w:styleId="Caption">
    <w:name w:val="caption"/>
    <w:basedOn w:val="Normal"/>
    <w:next w:val="Normal"/>
    <w:uiPriority w:val="35"/>
    <w:unhideWhenUsed/>
    <w:qFormat/>
    <w:rsid w:val="00924DC1"/>
    <w:pPr>
      <w:spacing w:line="240" w:lineRule="auto"/>
    </w:pPr>
    <w:rPr>
      <w:b/>
      <w:bCs/>
      <w:color w:val="4F81BD" w:themeColor="accent1"/>
      <w:sz w:val="18"/>
      <w:szCs w:val="18"/>
    </w:rPr>
  </w:style>
  <w:style w:type="table" w:styleId="TableGrid">
    <w:name w:val="Table Grid"/>
    <w:basedOn w:val="TableNormal"/>
    <w:uiPriority w:val="59"/>
    <w:rsid w:val="00A46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126C7"/>
    <w:pPr>
      <w:spacing w:after="0" w:line="240" w:lineRule="auto"/>
    </w:pPr>
    <w:rPr>
      <w:sz w:val="20"/>
      <w:szCs w:val="20"/>
    </w:rPr>
  </w:style>
  <w:style w:type="character" w:customStyle="1" w:styleId="FootnoteTextChar">
    <w:name w:val="Footnote Text Char"/>
    <w:basedOn w:val="DefaultParagraphFont"/>
    <w:link w:val="FootnoteText"/>
    <w:uiPriority w:val="99"/>
    <w:rsid w:val="002126C7"/>
    <w:rPr>
      <w:sz w:val="20"/>
      <w:szCs w:val="20"/>
    </w:rPr>
  </w:style>
  <w:style w:type="character" w:styleId="FootnoteReference">
    <w:name w:val="footnote reference"/>
    <w:basedOn w:val="DefaultParagraphFont"/>
    <w:uiPriority w:val="99"/>
    <w:semiHidden/>
    <w:unhideWhenUsed/>
    <w:rsid w:val="002126C7"/>
    <w:rPr>
      <w:vertAlign w:val="superscript"/>
    </w:rPr>
  </w:style>
  <w:style w:type="character" w:styleId="Emphasis">
    <w:name w:val="Emphasis"/>
    <w:basedOn w:val="DefaultParagraphFont"/>
    <w:uiPriority w:val="20"/>
    <w:qFormat/>
    <w:rsid w:val="004D04FC"/>
    <w:rPr>
      <w:i/>
      <w:iCs/>
    </w:rPr>
  </w:style>
  <w:style w:type="character" w:styleId="Hyperlink">
    <w:name w:val="Hyperlink"/>
    <w:basedOn w:val="DefaultParagraphFont"/>
    <w:uiPriority w:val="99"/>
    <w:unhideWhenUsed/>
    <w:rsid w:val="00EE7F87"/>
    <w:rPr>
      <w:color w:val="0000FF" w:themeColor="hyperlink"/>
      <w:u w:val="single"/>
    </w:rPr>
  </w:style>
  <w:style w:type="paragraph" w:styleId="Quote">
    <w:name w:val="Quote"/>
    <w:basedOn w:val="Normal"/>
    <w:next w:val="Normal"/>
    <w:link w:val="QuoteChar"/>
    <w:uiPriority w:val="29"/>
    <w:qFormat/>
    <w:rsid w:val="00EE7F87"/>
    <w:rPr>
      <w:i/>
      <w:iCs/>
      <w:color w:val="000000" w:themeColor="text1"/>
    </w:rPr>
  </w:style>
  <w:style w:type="character" w:customStyle="1" w:styleId="QuoteChar">
    <w:name w:val="Quote Char"/>
    <w:basedOn w:val="DefaultParagraphFont"/>
    <w:link w:val="Quote"/>
    <w:uiPriority w:val="29"/>
    <w:rsid w:val="00EE7F87"/>
    <w:rPr>
      <w:i/>
      <w:iCs/>
      <w:color w:val="000000" w:themeColor="text1"/>
    </w:rPr>
  </w:style>
  <w:style w:type="character" w:customStyle="1" w:styleId="citation">
    <w:name w:val="citation"/>
    <w:basedOn w:val="DefaultParagraphFont"/>
    <w:rsid w:val="00EE7F87"/>
  </w:style>
  <w:style w:type="paragraph" w:styleId="Header">
    <w:name w:val="header"/>
    <w:basedOn w:val="Normal"/>
    <w:link w:val="HeaderChar"/>
    <w:uiPriority w:val="99"/>
    <w:unhideWhenUsed/>
    <w:rsid w:val="008E7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B09"/>
  </w:style>
  <w:style w:type="paragraph" w:styleId="Footer">
    <w:name w:val="footer"/>
    <w:basedOn w:val="Normal"/>
    <w:link w:val="FooterChar"/>
    <w:uiPriority w:val="99"/>
    <w:unhideWhenUsed/>
    <w:rsid w:val="008E7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B09"/>
  </w:style>
  <w:style w:type="table" w:styleId="LightShading-Accent1">
    <w:name w:val="Light Shading Accent 1"/>
    <w:basedOn w:val="TableNormal"/>
    <w:uiPriority w:val="60"/>
    <w:rsid w:val="004F41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FBA"/>
    <w:rPr>
      <w:rFonts w:ascii="Tahoma" w:hAnsi="Tahoma" w:cs="Tahoma"/>
      <w:sz w:val="16"/>
      <w:szCs w:val="16"/>
    </w:rPr>
  </w:style>
  <w:style w:type="paragraph" w:styleId="ListParagraph">
    <w:name w:val="List Paragraph"/>
    <w:basedOn w:val="Normal"/>
    <w:uiPriority w:val="34"/>
    <w:qFormat/>
    <w:rsid w:val="00DA51D7"/>
    <w:pPr>
      <w:ind w:left="720"/>
      <w:contextualSpacing/>
    </w:pPr>
  </w:style>
  <w:style w:type="paragraph" w:styleId="Caption">
    <w:name w:val="caption"/>
    <w:basedOn w:val="Normal"/>
    <w:next w:val="Normal"/>
    <w:uiPriority w:val="35"/>
    <w:unhideWhenUsed/>
    <w:qFormat/>
    <w:rsid w:val="00924DC1"/>
    <w:pPr>
      <w:spacing w:line="240" w:lineRule="auto"/>
    </w:pPr>
    <w:rPr>
      <w:b/>
      <w:bCs/>
      <w:color w:val="4F81BD" w:themeColor="accent1"/>
      <w:sz w:val="18"/>
      <w:szCs w:val="18"/>
    </w:rPr>
  </w:style>
  <w:style w:type="table" w:styleId="TableGrid">
    <w:name w:val="Table Grid"/>
    <w:basedOn w:val="TableNormal"/>
    <w:uiPriority w:val="59"/>
    <w:rsid w:val="00A46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126C7"/>
    <w:pPr>
      <w:spacing w:after="0" w:line="240" w:lineRule="auto"/>
    </w:pPr>
    <w:rPr>
      <w:sz w:val="20"/>
      <w:szCs w:val="20"/>
    </w:rPr>
  </w:style>
  <w:style w:type="character" w:customStyle="1" w:styleId="FootnoteTextChar">
    <w:name w:val="Footnote Text Char"/>
    <w:basedOn w:val="DefaultParagraphFont"/>
    <w:link w:val="FootnoteText"/>
    <w:uiPriority w:val="99"/>
    <w:rsid w:val="002126C7"/>
    <w:rPr>
      <w:sz w:val="20"/>
      <w:szCs w:val="20"/>
    </w:rPr>
  </w:style>
  <w:style w:type="character" w:styleId="FootnoteReference">
    <w:name w:val="footnote reference"/>
    <w:basedOn w:val="DefaultParagraphFont"/>
    <w:uiPriority w:val="99"/>
    <w:semiHidden/>
    <w:unhideWhenUsed/>
    <w:rsid w:val="002126C7"/>
    <w:rPr>
      <w:vertAlign w:val="superscript"/>
    </w:rPr>
  </w:style>
  <w:style w:type="character" w:styleId="Emphasis">
    <w:name w:val="Emphasis"/>
    <w:basedOn w:val="DefaultParagraphFont"/>
    <w:uiPriority w:val="20"/>
    <w:qFormat/>
    <w:rsid w:val="004D04FC"/>
    <w:rPr>
      <w:i/>
      <w:iCs/>
    </w:rPr>
  </w:style>
  <w:style w:type="character" w:styleId="Hyperlink">
    <w:name w:val="Hyperlink"/>
    <w:basedOn w:val="DefaultParagraphFont"/>
    <w:uiPriority w:val="99"/>
    <w:unhideWhenUsed/>
    <w:rsid w:val="00EE7F87"/>
    <w:rPr>
      <w:color w:val="0000FF" w:themeColor="hyperlink"/>
      <w:u w:val="single"/>
    </w:rPr>
  </w:style>
  <w:style w:type="paragraph" w:styleId="Quote">
    <w:name w:val="Quote"/>
    <w:basedOn w:val="Normal"/>
    <w:next w:val="Normal"/>
    <w:link w:val="QuoteChar"/>
    <w:uiPriority w:val="29"/>
    <w:qFormat/>
    <w:rsid w:val="00EE7F87"/>
    <w:rPr>
      <w:i/>
      <w:iCs/>
      <w:color w:val="000000" w:themeColor="text1"/>
    </w:rPr>
  </w:style>
  <w:style w:type="character" w:customStyle="1" w:styleId="QuoteChar">
    <w:name w:val="Quote Char"/>
    <w:basedOn w:val="DefaultParagraphFont"/>
    <w:link w:val="Quote"/>
    <w:uiPriority w:val="29"/>
    <w:rsid w:val="00EE7F87"/>
    <w:rPr>
      <w:i/>
      <w:iCs/>
      <w:color w:val="000000" w:themeColor="text1"/>
    </w:rPr>
  </w:style>
  <w:style w:type="character" w:customStyle="1" w:styleId="citation">
    <w:name w:val="citation"/>
    <w:basedOn w:val="DefaultParagraphFont"/>
    <w:rsid w:val="00EE7F87"/>
  </w:style>
  <w:style w:type="paragraph" w:styleId="Header">
    <w:name w:val="header"/>
    <w:basedOn w:val="Normal"/>
    <w:link w:val="HeaderChar"/>
    <w:uiPriority w:val="99"/>
    <w:unhideWhenUsed/>
    <w:rsid w:val="008E7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B09"/>
  </w:style>
  <w:style w:type="paragraph" w:styleId="Footer">
    <w:name w:val="footer"/>
    <w:basedOn w:val="Normal"/>
    <w:link w:val="FooterChar"/>
    <w:uiPriority w:val="99"/>
    <w:unhideWhenUsed/>
    <w:rsid w:val="008E7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B09"/>
  </w:style>
  <w:style w:type="table" w:styleId="LightShading-Accent1">
    <w:name w:val="Light Shading Accent 1"/>
    <w:basedOn w:val="TableNormal"/>
    <w:uiPriority w:val="60"/>
    <w:rsid w:val="004F411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5432">
      <w:bodyDiv w:val="1"/>
      <w:marLeft w:val="0"/>
      <w:marRight w:val="0"/>
      <w:marTop w:val="0"/>
      <w:marBottom w:val="0"/>
      <w:divBdr>
        <w:top w:val="none" w:sz="0" w:space="0" w:color="auto"/>
        <w:left w:val="none" w:sz="0" w:space="0" w:color="auto"/>
        <w:bottom w:val="none" w:sz="0" w:space="0" w:color="auto"/>
        <w:right w:val="none" w:sz="0" w:space="0" w:color="auto"/>
      </w:divBdr>
    </w:div>
    <w:div w:id="298536700">
      <w:bodyDiv w:val="1"/>
      <w:marLeft w:val="0"/>
      <w:marRight w:val="0"/>
      <w:marTop w:val="0"/>
      <w:marBottom w:val="0"/>
      <w:divBdr>
        <w:top w:val="none" w:sz="0" w:space="0" w:color="auto"/>
        <w:left w:val="none" w:sz="0" w:space="0" w:color="auto"/>
        <w:bottom w:val="none" w:sz="0" w:space="0" w:color="auto"/>
        <w:right w:val="none" w:sz="0" w:space="0" w:color="auto"/>
      </w:divBdr>
    </w:div>
    <w:div w:id="431978240">
      <w:bodyDiv w:val="1"/>
      <w:marLeft w:val="0"/>
      <w:marRight w:val="0"/>
      <w:marTop w:val="0"/>
      <w:marBottom w:val="0"/>
      <w:divBdr>
        <w:top w:val="none" w:sz="0" w:space="0" w:color="auto"/>
        <w:left w:val="none" w:sz="0" w:space="0" w:color="auto"/>
        <w:bottom w:val="none" w:sz="0" w:space="0" w:color="auto"/>
        <w:right w:val="none" w:sz="0" w:space="0" w:color="auto"/>
      </w:divBdr>
    </w:div>
    <w:div w:id="470487768">
      <w:bodyDiv w:val="1"/>
      <w:marLeft w:val="0"/>
      <w:marRight w:val="0"/>
      <w:marTop w:val="0"/>
      <w:marBottom w:val="0"/>
      <w:divBdr>
        <w:top w:val="none" w:sz="0" w:space="0" w:color="auto"/>
        <w:left w:val="none" w:sz="0" w:space="0" w:color="auto"/>
        <w:bottom w:val="none" w:sz="0" w:space="0" w:color="auto"/>
        <w:right w:val="none" w:sz="0" w:space="0" w:color="auto"/>
      </w:divBdr>
    </w:div>
    <w:div w:id="520902434">
      <w:bodyDiv w:val="1"/>
      <w:marLeft w:val="0"/>
      <w:marRight w:val="0"/>
      <w:marTop w:val="0"/>
      <w:marBottom w:val="0"/>
      <w:divBdr>
        <w:top w:val="none" w:sz="0" w:space="0" w:color="auto"/>
        <w:left w:val="none" w:sz="0" w:space="0" w:color="auto"/>
        <w:bottom w:val="none" w:sz="0" w:space="0" w:color="auto"/>
        <w:right w:val="none" w:sz="0" w:space="0" w:color="auto"/>
      </w:divBdr>
    </w:div>
    <w:div w:id="555821880">
      <w:bodyDiv w:val="1"/>
      <w:marLeft w:val="0"/>
      <w:marRight w:val="0"/>
      <w:marTop w:val="0"/>
      <w:marBottom w:val="0"/>
      <w:divBdr>
        <w:top w:val="none" w:sz="0" w:space="0" w:color="auto"/>
        <w:left w:val="none" w:sz="0" w:space="0" w:color="auto"/>
        <w:bottom w:val="none" w:sz="0" w:space="0" w:color="auto"/>
        <w:right w:val="none" w:sz="0" w:space="0" w:color="auto"/>
      </w:divBdr>
    </w:div>
    <w:div w:id="738358346">
      <w:bodyDiv w:val="1"/>
      <w:marLeft w:val="0"/>
      <w:marRight w:val="0"/>
      <w:marTop w:val="0"/>
      <w:marBottom w:val="0"/>
      <w:divBdr>
        <w:top w:val="none" w:sz="0" w:space="0" w:color="auto"/>
        <w:left w:val="none" w:sz="0" w:space="0" w:color="auto"/>
        <w:bottom w:val="none" w:sz="0" w:space="0" w:color="auto"/>
        <w:right w:val="none" w:sz="0" w:space="0" w:color="auto"/>
      </w:divBdr>
    </w:div>
    <w:div w:id="953705930">
      <w:bodyDiv w:val="1"/>
      <w:marLeft w:val="0"/>
      <w:marRight w:val="0"/>
      <w:marTop w:val="0"/>
      <w:marBottom w:val="0"/>
      <w:divBdr>
        <w:top w:val="none" w:sz="0" w:space="0" w:color="auto"/>
        <w:left w:val="none" w:sz="0" w:space="0" w:color="auto"/>
        <w:bottom w:val="none" w:sz="0" w:space="0" w:color="auto"/>
        <w:right w:val="none" w:sz="0" w:space="0" w:color="auto"/>
      </w:divBdr>
    </w:div>
    <w:div w:id="1143886975">
      <w:bodyDiv w:val="1"/>
      <w:marLeft w:val="0"/>
      <w:marRight w:val="0"/>
      <w:marTop w:val="0"/>
      <w:marBottom w:val="0"/>
      <w:divBdr>
        <w:top w:val="none" w:sz="0" w:space="0" w:color="auto"/>
        <w:left w:val="none" w:sz="0" w:space="0" w:color="auto"/>
        <w:bottom w:val="none" w:sz="0" w:space="0" w:color="auto"/>
        <w:right w:val="none" w:sz="0" w:space="0" w:color="auto"/>
      </w:divBdr>
    </w:div>
    <w:div w:id="1162894208">
      <w:bodyDiv w:val="1"/>
      <w:marLeft w:val="0"/>
      <w:marRight w:val="0"/>
      <w:marTop w:val="0"/>
      <w:marBottom w:val="0"/>
      <w:divBdr>
        <w:top w:val="none" w:sz="0" w:space="0" w:color="auto"/>
        <w:left w:val="none" w:sz="0" w:space="0" w:color="auto"/>
        <w:bottom w:val="none" w:sz="0" w:space="0" w:color="auto"/>
        <w:right w:val="none" w:sz="0" w:space="0" w:color="auto"/>
      </w:divBdr>
    </w:div>
    <w:div w:id="1337537278">
      <w:bodyDiv w:val="1"/>
      <w:marLeft w:val="0"/>
      <w:marRight w:val="0"/>
      <w:marTop w:val="0"/>
      <w:marBottom w:val="0"/>
      <w:divBdr>
        <w:top w:val="none" w:sz="0" w:space="0" w:color="auto"/>
        <w:left w:val="none" w:sz="0" w:space="0" w:color="auto"/>
        <w:bottom w:val="none" w:sz="0" w:space="0" w:color="auto"/>
        <w:right w:val="none" w:sz="0" w:space="0" w:color="auto"/>
      </w:divBdr>
    </w:div>
    <w:div w:id="1405295389">
      <w:bodyDiv w:val="1"/>
      <w:marLeft w:val="0"/>
      <w:marRight w:val="0"/>
      <w:marTop w:val="0"/>
      <w:marBottom w:val="0"/>
      <w:divBdr>
        <w:top w:val="none" w:sz="0" w:space="0" w:color="auto"/>
        <w:left w:val="none" w:sz="0" w:space="0" w:color="auto"/>
        <w:bottom w:val="none" w:sz="0" w:space="0" w:color="auto"/>
        <w:right w:val="none" w:sz="0" w:space="0" w:color="auto"/>
      </w:divBdr>
    </w:div>
    <w:div w:id="1439837326">
      <w:bodyDiv w:val="1"/>
      <w:marLeft w:val="0"/>
      <w:marRight w:val="0"/>
      <w:marTop w:val="0"/>
      <w:marBottom w:val="0"/>
      <w:divBdr>
        <w:top w:val="none" w:sz="0" w:space="0" w:color="auto"/>
        <w:left w:val="none" w:sz="0" w:space="0" w:color="auto"/>
        <w:bottom w:val="none" w:sz="0" w:space="0" w:color="auto"/>
        <w:right w:val="none" w:sz="0" w:space="0" w:color="auto"/>
      </w:divBdr>
    </w:div>
    <w:div w:id="1547327476">
      <w:bodyDiv w:val="1"/>
      <w:marLeft w:val="0"/>
      <w:marRight w:val="0"/>
      <w:marTop w:val="0"/>
      <w:marBottom w:val="0"/>
      <w:divBdr>
        <w:top w:val="none" w:sz="0" w:space="0" w:color="auto"/>
        <w:left w:val="none" w:sz="0" w:space="0" w:color="auto"/>
        <w:bottom w:val="none" w:sz="0" w:space="0" w:color="auto"/>
        <w:right w:val="none" w:sz="0" w:space="0" w:color="auto"/>
      </w:divBdr>
    </w:div>
    <w:div w:id="1650551135">
      <w:bodyDiv w:val="1"/>
      <w:marLeft w:val="0"/>
      <w:marRight w:val="0"/>
      <w:marTop w:val="0"/>
      <w:marBottom w:val="0"/>
      <w:divBdr>
        <w:top w:val="none" w:sz="0" w:space="0" w:color="auto"/>
        <w:left w:val="none" w:sz="0" w:space="0" w:color="auto"/>
        <w:bottom w:val="none" w:sz="0" w:space="0" w:color="auto"/>
        <w:right w:val="none" w:sz="0" w:space="0" w:color="auto"/>
      </w:divBdr>
    </w:div>
    <w:div w:id="1698385482">
      <w:bodyDiv w:val="1"/>
      <w:marLeft w:val="0"/>
      <w:marRight w:val="0"/>
      <w:marTop w:val="0"/>
      <w:marBottom w:val="0"/>
      <w:divBdr>
        <w:top w:val="none" w:sz="0" w:space="0" w:color="auto"/>
        <w:left w:val="none" w:sz="0" w:space="0" w:color="auto"/>
        <w:bottom w:val="none" w:sz="0" w:space="0" w:color="auto"/>
        <w:right w:val="none" w:sz="0" w:space="0" w:color="auto"/>
      </w:divBdr>
    </w:div>
    <w:div w:id="1879317010">
      <w:bodyDiv w:val="1"/>
      <w:marLeft w:val="0"/>
      <w:marRight w:val="0"/>
      <w:marTop w:val="0"/>
      <w:marBottom w:val="0"/>
      <w:divBdr>
        <w:top w:val="none" w:sz="0" w:space="0" w:color="auto"/>
        <w:left w:val="none" w:sz="0" w:space="0" w:color="auto"/>
        <w:bottom w:val="none" w:sz="0" w:space="0" w:color="auto"/>
        <w:right w:val="none" w:sz="0" w:space="0" w:color="auto"/>
      </w:divBdr>
    </w:div>
    <w:div w:id="20267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tgreen-project.eu/blog/2014/06/18/inequality-where-palma-better-gin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IT172OAFS-OA04\HOME_G\glass317\Research\Research%20Papers\SEA\Inequality_metrics_Year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IT172OAFS-OA04\HOME_G\glass317\Research\Research%20Papers\SEA%202016\Inequality_metrics_Yea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Figure 1: Change in MSA After-tax, After-transfer Income Inequality by Metric</a:t>
            </a:r>
          </a:p>
        </c:rich>
      </c:tx>
      <c:layout/>
      <c:overlay val="0"/>
    </c:title>
    <c:autoTitleDeleted val="0"/>
    <c:plotArea>
      <c:layout>
        <c:manualLayout>
          <c:layoutTarget val="inner"/>
          <c:xMode val="edge"/>
          <c:yMode val="edge"/>
          <c:x val="0.17646573739093424"/>
          <c:y val="0.23494731017017981"/>
          <c:w val="0.67424434276796485"/>
          <c:h val="0.56851295280818914"/>
        </c:manualLayout>
      </c:layout>
      <c:barChart>
        <c:barDir val="col"/>
        <c:grouping val="stacked"/>
        <c:varyColors val="0"/>
        <c:ser>
          <c:idx val="0"/>
          <c:order val="0"/>
          <c:tx>
            <c:strRef>
              <c:f>MSAs!$B$383</c:f>
              <c:strCache>
                <c:ptCount val="1"/>
                <c:pt idx="0">
                  <c:v>Increased</c:v>
                </c:pt>
              </c:strCache>
            </c:strRef>
          </c:tx>
          <c:invertIfNegative val="0"/>
          <c:cat>
            <c:strRef>
              <c:f>MSAs!$C$382:$K$382</c:f>
              <c:strCache>
                <c:ptCount val="9"/>
                <c:pt idx="0">
                  <c:v>Gini</c:v>
                </c:pt>
                <c:pt idx="1">
                  <c:v>Theil</c:v>
                </c:pt>
                <c:pt idx="2">
                  <c:v>MLD</c:v>
                </c:pt>
                <c:pt idx="3">
                  <c:v>80-20</c:v>
                </c:pt>
                <c:pt idx="4">
                  <c:v>Palma</c:v>
                </c:pt>
                <c:pt idx="5">
                  <c:v>90-10</c:v>
                </c:pt>
                <c:pt idx="6">
                  <c:v>50-10</c:v>
                </c:pt>
                <c:pt idx="7">
                  <c:v>90-50</c:v>
                </c:pt>
                <c:pt idx="8">
                  <c:v>99-90</c:v>
                </c:pt>
              </c:strCache>
            </c:strRef>
          </c:cat>
          <c:val>
            <c:numRef>
              <c:f>MSAs!$C$383:$K$383</c:f>
              <c:numCache>
                <c:formatCode>General</c:formatCode>
                <c:ptCount val="9"/>
                <c:pt idx="0">
                  <c:v>127</c:v>
                </c:pt>
                <c:pt idx="1">
                  <c:v>119</c:v>
                </c:pt>
                <c:pt idx="2">
                  <c:v>166</c:v>
                </c:pt>
                <c:pt idx="3">
                  <c:v>263</c:v>
                </c:pt>
                <c:pt idx="4">
                  <c:v>133</c:v>
                </c:pt>
                <c:pt idx="5">
                  <c:v>261</c:v>
                </c:pt>
                <c:pt idx="6">
                  <c:v>218</c:v>
                </c:pt>
                <c:pt idx="7">
                  <c:v>270</c:v>
                </c:pt>
                <c:pt idx="8">
                  <c:v>241</c:v>
                </c:pt>
              </c:numCache>
            </c:numRef>
          </c:val>
        </c:ser>
        <c:ser>
          <c:idx val="1"/>
          <c:order val="1"/>
          <c:tx>
            <c:strRef>
              <c:f>MSAs!$B$384</c:f>
              <c:strCache>
                <c:ptCount val="1"/>
                <c:pt idx="0">
                  <c:v>No Change</c:v>
                </c:pt>
              </c:strCache>
            </c:strRef>
          </c:tx>
          <c:spPr>
            <a:solidFill>
              <a:schemeClr val="tx1"/>
            </a:solidFill>
          </c:spPr>
          <c:invertIfNegative val="0"/>
          <c:cat>
            <c:strRef>
              <c:f>MSAs!$C$382:$K$382</c:f>
              <c:strCache>
                <c:ptCount val="9"/>
                <c:pt idx="0">
                  <c:v>Gini</c:v>
                </c:pt>
                <c:pt idx="1">
                  <c:v>Theil</c:v>
                </c:pt>
                <c:pt idx="2">
                  <c:v>MLD</c:v>
                </c:pt>
                <c:pt idx="3">
                  <c:v>80-20</c:v>
                </c:pt>
                <c:pt idx="4">
                  <c:v>Palma</c:v>
                </c:pt>
                <c:pt idx="5">
                  <c:v>90-10</c:v>
                </c:pt>
                <c:pt idx="6">
                  <c:v>50-10</c:v>
                </c:pt>
                <c:pt idx="7">
                  <c:v>90-50</c:v>
                </c:pt>
                <c:pt idx="8">
                  <c:v>99-90</c:v>
                </c:pt>
              </c:strCache>
            </c:strRef>
          </c:cat>
          <c:val>
            <c:numRef>
              <c:f>MSAs!$C$384:$K$384</c:f>
              <c:numCache>
                <c:formatCode>General</c:formatCode>
                <c:ptCount val="9"/>
                <c:pt idx="0">
                  <c:v>243</c:v>
                </c:pt>
                <c:pt idx="1">
                  <c:v>257</c:v>
                </c:pt>
                <c:pt idx="2">
                  <c:v>209</c:v>
                </c:pt>
                <c:pt idx="3">
                  <c:v>31</c:v>
                </c:pt>
                <c:pt idx="4">
                  <c:v>240</c:v>
                </c:pt>
                <c:pt idx="5">
                  <c:v>27</c:v>
                </c:pt>
                <c:pt idx="6">
                  <c:v>26</c:v>
                </c:pt>
                <c:pt idx="7">
                  <c:v>25</c:v>
                </c:pt>
                <c:pt idx="8">
                  <c:v>39</c:v>
                </c:pt>
              </c:numCache>
            </c:numRef>
          </c:val>
        </c:ser>
        <c:ser>
          <c:idx val="2"/>
          <c:order val="2"/>
          <c:tx>
            <c:strRef>
              <c:f>MSAs!$B$385</c:f>
              <c:strCache>
                <c:ptCount val="1"/>
                <c:pt idx="0">
                  <c:v>Decreased</c:v>
                </c:pt>
              </c:strCache>
            </c:strRef>
          </c:tx>
          <c:invertIfNegative val="0"/>
          <c:cat>
            <c:strRef>
              <c:f>MSAs!$C$382:$K$382</c:f>
              <c:strCache>
                <c:ptCount val="9"/>
                <c:pt idx="0">
                  <c:v>Gini</c:v>
                </c:pt>
                <c:pt idx="1">
                  <c:v>Theil</c:v>
                </c:pt>
                <c:pt idx="2">
                  <c:v>MLD</c:v>
                </c:pt>
                <c:pt idx="3">
                  <c:v>80-20</c:v>
                </c:pt>
                <c:pt idx="4">
                  <c:v>Palma</c:v>
                </c:pt>
                <c:pt idx="5">
                  <c:v>90-10</c:v>
                </c:pt>
                <c:pt idx="6">
                  <c:v>50-10</c:v>
                </c:pt>
                <c:pt idx="7">
                  <c:v>90-50</c:v>
                </c:pt>
                <c:pt idx="8">
                  <c:v>99-90</c:v>
                </c:pt>
              </c:strCache>
            </c:strRef>
          </c:cat>
          <c:val>
            <c:numRef>
              <c:f>MSAs!$C$385:$K$385</c:f>
              <c:numCache>
                <c:formatCode>General</c:formatCode>
                <c:ptCount val="9"/>
                <c:pt idx="0">
                  <c:v>8</c:v>
                </c:pt>
                <c:pt idx="1">
                  <c:v>2</c:v>
                </c:pt>
                <c:pt idx="2">
                  <c:v>3</c:v>
                </c:pt>
                <c:pt idx="3">
                  <c:v>84</c:v>
                </c:pt>
                <c:pt idx="4">
                  <c:v>5</c:v>
                </c:pt>
                <c:pt idx="5">
                  <c:v>90</c:v>
                </c:pt>
                <c:pt idx="6">
                  <c:v>134</c:v>
                </c:pt>
                <c:pt idx="7">
                  <c:v>83</c:v>
                </c:pt>
                <c:pt idx="8">
                  <c:v>98</c:v>
                </c:pt>
              </c:numCache>
            </c:numRef>
          </c:val>
        </c:ser>
        <c:dLbls>
          <c:showLegendKey val="0"/>
          <c:showVal val="0"/>
          <c:showCatName val="0"/>
          <c:showSerName val="0"/>
          <c:showPercent val="0"/>
          <c:showBubbleSize val="0"/>
        </c:dLbls>
        <c:gapWidth val="150"/>
        <c:overlap val="100"/>
        <c:axId val="91799552"/>
        <c:axId val="115333760"/>
      </c:barChart>
      <c:catAx>
        <c:axId val="91799552"/>
        <c:scaling>
          <c:orientation val="minMax"/>
        </c:scaling>
        <c:delete val="0"/>
        <c:axPos val="b"/>
        <c:title>
          <c:tx>
            <c:rich>
              <a:bodyPr/>
              <a:lstStyle/>
              <a:p>
                <a:pPr algn="l">
                  <a:defRPr/>
                </a:pPr>
                <a:r>
                  <a:rPr lang="en-US" sz="800" b="0"/>
                  <a:t>Source: 2005 and 2015 American Community Surveys.  For more information on the ACS, see census.gov/acs.</a:t>
                </a:r>
              </a:p>
            </c:rich>
          </c:tx>
          <c:layout>
            <c:manualLayout>
              <c:xMode val="edge"/>
              <c:yMode val="edge"/>
              <c:x val="2.2490600837057534E-2"/>
              <c:y val="0.89212289499176567"/>
            </c:manualLayout>
          </c:layout>
          <c:overlay val="0"/>
        </c:title>
        <c:majorTickMark val="out"/>
        <c:minorTickMark val="none"/>
        <c:tickLblPos val="nextTo"/>
        <c:crossAx val="115333760"/>
        <c:crosses val="autoZero"/>
        <c:auto val="1"/>
        <c:lblAlgn val="ctr"/>
        <c:lblOffset val="100"/>
        <c:noMultiLvlLbl val="0"/>
      </c:catAx>
      <c:valAx>
        <c:axId val="115333760"/>
        <c:scaling>
          <c:orientation val="minMax"/>
        </c:scaling>
        <c:delete val="0"/>
        <c:axPos val="l"/>
        <c:title>
          <c:tx>
            <c:rich>
              <a:bodyPr rot="0" vert="horz"/>
              <a:lstStyle/>
              <a:p>
                <a:pPr>
                  <a:defRPr sz="900"/>
                </a:pPr>
                <a:r>
                  <a:rPr lang="en-US" sz="900"/>
                  <a:t>Number of</a:t>
                </a:r>
              </a:p>
              <a:p>
                <a:pPr>
                  <a:defRPr sz="900"/>
                </a:pPr>
                <a:r>
                  <a:rPr lang="en-US" sz="900"/>
                  <a:t> MSAs</a:t>
                </a:r>
              </a:p>
            </c:rich>
          </c:tx>
          <c:layout>
            <c:manualLayout>
              <c:xMode val="edge"/>
              <c:yMode val="edge"/>
              <c:x val="4.5045045045045045E-3"/>
              <c:y val="0.45136176768414871"/>
            </c:manualLayout>
          </c:layout>
          <c:overlay val="0"/>
        </c:title>
        <c:numFmt formatCode="General" sourceLinked="1"/>
        <c:majorTickMark val="out"/>
        <c:minorTickMark val="none"/>
        <c:tickLblPos val="nextTo"/>
        <c:crossAx val="917995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Figure 2: Change in 90-50 Ratio and 99-90 Ratio by Change in 50-10 Ratio</a:t>
            </a:r>
          </a:p>
        </c:rich>
      </c:tx>
      <c:layout/>
      <c:overlay val="0"/>
    </c:title>
    <c:autoTitleDeleted val="0"/>
    <c:plotArea>
      <c:layout>
        <c:manualLayout>
          <c:layoutTarget val="inner"/>
          <c:xMode val="edge"/>
          <c:yMode val="edge"/>
          <c:x val="0.20823230732522072"/>
          <c:y val="0.24862699455993681"/>
          <c:w val="0.62622896683369123"/>
          <c:h val="0.47137953388264758"/>
        </c:manualLayout>
      </c:layout>
      <c:barChart>
        <c:barDir val="col"/>
        <c:grouping val="stacked"/>
        <c:varyColors val="0"/>
        <c:ser>
          <c:idx val="0"/>
          <c:order val="0"/>
          <c:tx>
            <c:strRef>
              <c:f>MSAs!$AE$384</c:f>
              <c:strCache>
                <c:ptCount val="1"/>
                <c:pt idx="0">
                  <c:v>Increased</c:v>
                </c:pt>
              </c:strCache>
            </c:strRef>
          </c:tx>
          <c:invertIfNegative val="0"/>
          <c:cat>
            <c:multiLvlStrRef>
              <c:f>MSAs!$AF$382:$AK$383</c:f>
              <c:multiLvlStrCache>
                <c:ptCount val="6"/>
                <c:lvl>
                  <c:pt idx="0">
                    <c:v>90-50</c:v>
                  </c:pt>
                  <c:pt idx="1">
                    <c:v>99-90</c:v>
                  </c:pt>
                  <c:pt idx="2">
                    <c:v>90-50</c:v>
                  </c:pt>
                  <c:pt idx="3">
                    <c:v>99-90</c:v>
                  </c:pt>
                  <c:pt idx="4">
                    <c:v>90-50</c:v>
                  </c:pt>
                  <c:pt idx="5">
                    <c:v>99-90</c:v>
                  </c:pt>
                </c:lvl>
                <c:lvl>
                  <c:pt idx="0">
                    <c:v>50-10 Increased</c:v>
                  </c:pt>
                  <c:pt idx="2">
                    <c:v>50-10 Unchanged</c:v>
                  </c:pt>
                  <c:pt idx="4">
                    <c:v>50-10 Decreased</c:v>
                  </c:pt>
                </c:lvl>
              </c:multiLvlStrCache>
            </c:multiLvlStrRef>
          </c:cat>
          <c:val>
            <c:numRef>
              <c:f>MSAs!$AF$384:$AK$384</c:f>
              <c:numCache>
                <c:formatCode>0.00%</c:formatCode>
                <c:ptCount val="6"/>
                <c:pt idx="0">
                  <c:v>0.72477064220183485</c:v>
                </c:pt>
                <c:pt idx="1">
                  <c:v>0.60550458715596334</c:v>
                </c:pt>
                <c:pt idx="2">
                  <c:v>0.76923076923076927</c:v>
                </c:pt>
                <c:pt idx="3">
                  <c:v>0.69230769230769229</c:v>
                </c:pt>
                <c:pt idx="4">
                  <c:v>0.68656716417910446</c:v>
                </c:pt>
                <c:pt idx="5">
                  <c:v>0.67910447761194026</c:v>
                </c:pt>
              </c:numCache>
            </c:numRef>
          </c:val>
        </c:ser>
        <c:ser>
          <c:idx val="1"/>
          <c:order val="1"/>
          <c:tx>
            <c:strRef>
              <c:f>MSAs!$AE$385</c:f>
              <c:strCache>
                <c:ptCount val="1"/>
                <c:pt idx="0">
                  <c:v>No Change</c:v>
                </c:pt>
              </c:strCache>
            </c:strRef>
          </c:tx>
          <c:spPr>
            <a:solidFill>
              <a:schemeClr val="tx1"/>
            </a:solidFill>
          </c:spPr>
          <c:invertIfNegative val="0"/>
          <c:cat>
            <c:multiLvlStrRef>
              <c:f>MSAs!$AF$382:$AK$383</c:f>
              <c:multiLvlStrCache>
                <c:ptCount val="6"/>
                <c:lvl>
                  <c:pt idx="0">
                    <c:v>90-50</c:v>
                  </c:pt>
                  <c:pt idx="1">
                    <c:v>99-90</c:v>
                  </c:pt>
                  <c:pt idx="2">
                    <c:v>90-50</c:v>
                  </c:pt>
                  <c:pt idx="3">
                    <c:v>99-90</c:v>
                  </c:pt>
                  <c:pt idx="4">
                    <c:v>90-50</c:v>
                  </c:pt>
                  <c:pt idx="5">
                    <c:v>99-90</c:v>
                  </c:pt>
                </c:lvl>
                <c:lvl>
                  <c:pt idx="0">
                    <c:v>50-10 Increased</c:v>
                  </c:pt>
                  <c:pt idx="2">
                    <c:v>50-10 Unchanged</c:v>
                  </c:pt>
                  <c:pt idx="4">
                    <c:v>50-10 Decreased</c:v>
                  </c:pt>
                </c:lvl>
              </c:multiLvlStrCache>
            </c:multiLvlStrRef>
          </c:cat>
          <c:val>
            <c:numRef>
              <c:f>MSAs!$AF$385:$AK$385</c:f>
              <c:numCache>
                <c:formatCode>0.00%</c:formatCode>
                <c:ptCount val="6"/>
                <c:pt idx="0">
                  <c:v>7.3394495412844041E-2</c:v>
                </c:pt>
                <c:pt idx="1">
                  <c:v>0.12844036697247707</c:v>
                </c:pt>
                <c:pt idx="2">
                  <c:v>3.8461538461538464E-2</c:v>
                </c:pt>
                <c:pt idx="3">
                  <c:v>7.6923076923076927E-2</c:v>
                </c:pt>
                <c:pt idx="4">
                  <c:v>5.9701492537313432E-2</c:v>
                </c:pt>
                <c:pt idx="5">
                  <c:v>6.7164179104477612E-2</c:v>
                </c:pt>
              </c:numCache>
            </c:numRef>
          </c:val>
        </c:ser>
        <c:ser>
          <c:idx val="2"/>
          <c:order val="2"/>
          <c:tx>
            <c:strRef>
              <c:f>MSAs!$AE$386</c:f>
              <c:strCache>
                <c:ptCount val="1"/>
                <c:pt idx="0">
                  <c:v>Decreased</c:v>
                </c:pt>
              </c:strCache>
            </c:strRef>
          </c:tx>
          <c:invertIfNegative val="0"/>
          <c:cat>
            <c:multiLvlStrRef>
              <c:f>MSAs!$AF$382:$AK$383</c:f>
              <c:multiLvlStrCache>
                <c:ptCount val="6"/>
                <c:lvl>
                  <c:pt idx="0">
                    <c:v>90-50</c:v>
                  </c:pt>
                  <c:pt idx="1">
                    <c:v>99-90</c:v>
                  </c:pt>
                  <c:pt idx="2">
                    <c:v>90-50</c:v>
                  </c:pt>
                  <c:pt idx="3">
                    <c:v>99-90</c:v>
                  </c:pt>
                  <c:pt idx="4">
                    <c:v>90-50</c:v>
                  </c:pt>
                  <c:pt idx="5">
                    <c:v>99-90</c:v>
                  </c:pt>
                </c:lvl>
                <c:lvl>
                  <c:pt idx="0">
                    <c:v>50-10 Increased</c:v>
                  </c:pt>
                  <c:pt idx="2">
                    <c:v>50-10 Unchanged</c:v>
                  </c:pt>
                  <c:pt idx="4">
                    <c:v>50-10 Decreased</c:v>
                  </c:pt>
                </c:lvl>
              </c:multiLvlStrCache>
            </c:multiLvlStrRef>
          </c:cat>
          <c:val>
            <c:numRef>
              <c:f>MSAs!$AF$386:$AK$386</c:f>
              <c:numCache>
                <c:formatCode>0.00%</c:formatCode>
                <c:ptCount val="6"/>
                <c:pt idx="0">
                  <c:v>0.20183486238532111</c:v>
                </c:pt>
                <c:pt idx="1">
                  <c:v>0.26605504587155965</c:v>
                </c:pt>
                <c:pt idx="2">
                  <c:v>0.19230769230769232</c:v>
                </c:pt>
                <c:pt idx="3">
                  <c:v>0.23076923076923078</c:v>
                </c:pt>
                <c:pt idx="4">
                  <c:v>0.2537313432835821</c:v>
                </c:pt>
                <c:pt idx="5">
                  <c:v>0.2537313432835821</c:v>
                </c:pt>
              </c:numCache>
            </c:numRef>
          </c:val>
        </c:ser>
        <c:dLbls>
          <c:showLegendKey val="0"/>
          <c:showVal val="0"/>
          <c:showCatName val="0"/>
          <c:showSerName val="0"/>
          <c:showPercent val="0"/>
          <c:showBubbleSize val="0"/>
        </c:dLbls>
        <c:gapWidth val="150"/>
        <c:overlap val="100"/>
        <c:axId val="198262784"/>
        <c:axId val="334627968"/>
      </c:barChart>
      <c:catAx>
        <c:axId val="198262784"/>
        <c:scaling>
          <c:orientation val="minMax"/>
        </c:scaling>
        <c:delete val="0"/>
        <c:axPos val="b"/>
        <c:title>
          <c:tx>
            <c:rich>
              <a:bodyPr/>
              <a:lstStyle/>
              <a:p>
                <a:pPr algn="l">
                  <a:defRPr/>
                </a:pPr>
                <a:r>
                  <a:rPr lang="en-US" sz="800"/>
                  <a:t>Source: 2005 and 2015 American Community Surveys.  For more information on the ACS, see census.gov/acs.</a:t>
                </a:r>
              </a:p>
            </c:rich>
          </c:tx>
          <c:layout>
            <c:manualLayout>
              <c:xMode val="edge"/>
              <c:yMode val="edge"/>
              <c:x val="5.792927702219041E-2"/>
              <c:y val="0.90913147568170416"/>
            </c:manualLayout>
          </c:layout>
          <c:overlay val="0"/>
        </c:title>
        <c:majorTickMark val="out"/>
        <c:minorTickMark val="none"/>
        <c:tickLblPos val="nextTo"/>
        <c:crossAx val="334627968"/>
        <c:crosses val="autoZero"/>
        <c:auto val="1"/>
        <c:lblAlgn val="ctr"/>
        <c:lblOffset val="100"/>
        <c:noMultiLvlLbl val="0"/>
      </c:catAx>
      <c:valAx>
        <c:axId val="334627968"/>
        <c:scaling>
          <c:orientation val="minMax"/>
          <c:max val="1"/>
        </c:scaling>
        <c:delete val="0"/>
        <c:axPos val="l"/>
        <c:title>
          <c:tx>
            <c:rich>
              <a:bodyPr rot="0" vert="horz"/>
              <a:lstStyle/>
              <a:p>
                <a:pPr>
                  <a:defRPr/>
                </a:pPr>
                <a:r>
                  <a:rPr lang="en-US"/>
                  <a:t>Percent of </a:t>
                </a:r>
              </a:p>
              <a:p>
                <a:pPr>
                  <a:defRPr/>
                </a:pPr>
                <a:r>
                  <a:rPr lang="en-US"/>
                  <a:t>MSAs</a:t>
                </a:r>
              </a:p>
            </c:rich>
          </c:tx>
          <c:layout>
            <c:manualLayout>
              <c:xMode val="edge"/>
              <c:yMode val="edge"/>
              <c:x val="9.696969696969697E-3"/>
              <c:y val="0.43500088788041702"/>
            </c:manualLayout>
          </c:layout>
          <c:overlay val="0"/>
        </c:title>
        <c:numFmt formatCode="0%" sourceLinked="0"/>
        <c:majorTickMark val="out"/>
        <c:minorTickMark val="none"/>
        <c:tickLblPos val="nextTo"/>
        <c:crossAx val="198262784"/>
        <c:crosses val="autoZero"/>
        <c:crossBetween val="between"/>
        <c:majorUnit val="0.2"/>
      </c:valAx>
    </c:plotArea>
    <c:legend>
      <c:legendPos val="r"/>
      <c:layout>
        <c:manualLayout>
          <c:xMode val="edge"/>
          <c:yMode val="edge"/>
          <c:x val="0.83930975900739679"/>
          <c:y val="0.40432056975943481"/>
          <c:w val="0.14856902887139106"/>
          <c:h val="0.21057253157782616"/>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0.24545</cdr:x>
      <cdr:y>0.21543</cdr:y>
    </cdr:from>
    <cdr:to>
      <cdr:x>0.72</cdr:x>
      <cdr:y>0.33479</cdr:y>
    </cdr:to>
    <cdr:sp macro="" textlink="">
      <cdr:nvSpPr>
        <cdr:cNvPr id="2" name="TextBox 1"/>
        <cdr:cNvSpPr txBox="1"/>
      </cdr:nvSpPr>
      <cdr:spPr>
        <a:xfrm xmlns:a="http://schemas.openxmlformats.org/drawingml/2006/main">
          <a:off x="1285874" y="704850"/>
          <a:ext cx="2486025" cy="3905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06A01-A77F-4EC5-A597-239B2F7B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226AD978.dotm</Template>
  <TotalTime>0</TotalTime>
  <Pages>22</Pages>
  <Words>8013</Words>
  <Characters>42475</Characters>
  <Application>Microsoft Office Word</Application>
  <DocSecurity>0</DocSecurity>
  <Lines>1464</Lines>
  <Paragraphs>1074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E Glassman (CENSUS/SEHSD FED)</dc:creator>
  <cp:lastModifiedBy>Nanette Butler (CENSUS/DSD FED)</cp:lastModifiedBy>
  <cp:revision>2</cp:revision>
  <cp:lastPrinted>2016-10-18T18:15:00Z</cp:lastPrinted>
  <dcterms:created xsi:type="dcterms:W3CDTF">2016-12-02T14:39:00Z</dcterms:created>
  <dcterms:modified xsi:type="dcterms:W3CDTF">2016-12-02T14:39:00Z</dcterms:modified>
</cp:coreProperties>
</file>