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F4C4C" w14:textId="110570FB" w:rsidR="009A7517" w:rsidRDefault="000C0B5C" w:rsidP="009A7517">
      <w:pPr>
        <w:spacing w:after="240" w:line="240" w:lineRule="auto"/>
        <w:rPr>
          <w:rFonts w:ascii="Arial" w:eastAsiaTheme="minorEastAsia" w:hAnsi="Arial" w:cs="Arial"/>
          <w:b/>
          <w:bCs/>
          <w:color w:val="000000"/>
        </w:rPr>
      </w:pPr>
      <w:bookmarkStart w:id="0" w:name="_GoBack"/>
      <w:bookmarkEnd w:id="0"/>
      <w:r w:rsidRPr="003F4E28">
        <w:rPr>
          <w:rFonts w:ascii="Arial" w:hAnsi="Arial" w:cs="Arial"/>
          <w:b/>
        </w:rPr>
        <w:t>FOR RELEA</w:t>
      </w:r>
      <w:r w:rsidR="003E3755" w:rsidRPr="003F4E28">
        <w:rPr>
          <w:rFonts w:ascii="Arial" w:hAnsi="Arial" w:cs="Arial"/>
          <w:b/>
        </w:rPr>
        <w:t>SE AT 8:30 AM E</w:t>
      </w:r>
      <w:r w:rsidR="008B77D7">
        <w:rPr>
          <w:rFonts w:ascii="Arial" w:hAnsi="Arial" w:cs="Arial"/>
          <w:b/>
        </w:rPr>
        <w:t>S</w:t>
      </w:r>
      <w:r w:rsidR="003E3755" w:rsidRPr="003F4E28">
        <w:rPr>
          <w:rFonts w:ascii="Arial" w:hAnsi="Arial" w:cs="Arial"/>
          <w:b/>
        </w:rPr>
        <w:t xml:space="preserve">T, </w:t>
      </w:r>
      <w:r w:rsidR="00822DA7" w:rsidRPr="00822DA7">
        <w:rPr>
          <w:rFonts w:ascii="Arial" w:eastAsiaTheme="minorEastAsia" w:hAnsi="Arial" w:cs="Arial"/>
          <w:b/>
          <w:bCs/>
          <w:color w:val="000000"/>
        </w:rPr>
        <w:t>THURSDAY, DECEMBER 29, 2016</w:t>
      </w:r>
    </w:p>
    <w:p w14:paraId="3F0E0013" w14:textId="69789C15" w:rsidR="004C4B6A" w:rsidRDefault="00F65176" w:rsidP="00F27595">
      <w:pPr>
        <w:spacing w:after="120" w:line="240" w:lineRule="auto"/>
        <w:rPr>
          <w:rFonts w:ascii="Arial" w:eastAsiaTheme="minorEastAsia" w:hAnsi="Arial" w:cs="Arial"/>
          <w:b/>
          <w:bCs/>
          <w:color w:val="000000"/>
          <w:sz w:val="28"/>
          <w:szCs w:val="28"/>
        </w:rPr>
      </w:pPr>
      <w:r w:rsidRPr="005B61C2">
        <w:rPr>
          <w:rFonts w:ascii="Arial" w:hAnsi="Arial" w:cs="Arial"/>
          <w:b/>
          <w:sz w:val="28"/>
          <w:szCs w:val="28"/>
        </w:rPr>
        <w:t xml:space="preserve">MONTHLY </w:t>
      </w:r>
      <w:r w:rsidR="003578F8">
        <w:rPr>
          <w:rFonts w:ascii="Arial" w:hAnsi="Arial" w:cs="Arial"/>
          <w:b/>
          <w:sz w:val="28"/>
          <w:szCs w:val="28"/>
        </w:rPr>
        <w:t>ADVANCE E</w:t>
      </w:r>
      <w:r w:rsidR="00EE222F">
        <w:rPr>
          <w:rFonts w:ascii="Arial" w:hAnsi="Arial" w:cs="Arial"/>
          <w:b/>
          <w:sz w:val="28"/>
          <w:szCs w:val="28"/>
        </w:rPr>
        <w:t>C</w:t>
      </w:r>
      <w:r w:rsidR="003578F8">
        <w:rPr>
          <w:rFonts w:ascii="Arial" w:hAnsi="Arial" w:cs="Arial"/>
          <w:b/>
          <w:sz w:val="28"/>
          <w:szCs w:val="28"/>
        </w:rPr>
        <w:t>ONOMIC INDICA</w:t>
      </w:r>
      <w:r w:rsidR="00596CAE">
        <w:rPr>
          <w:rFonts w:ascii="Arial" w:hAnsi="Arial" w:cs="Arial"/>
          <w:b/>
          <w:sz w:val="28"/>
          <w:szCs w:val="28"/>
        </w:rPr>
        <w:t>T</w:t>
      </w:r>
      <w:r w:rsidR="003578F8">
        <w:rPr>
          <w:rFonts w:ascii="Arial" w:hAnsi="Arial" w:cs="Arial"/>
          <w:b/>
          <w:sz w:val="28"/>
          <w:szCs w:val="28"/>
        </w:rPr>
        <w:t>ORS REPORT</w:t>
      </w:r>
      <w:r w:rsidR="000C0B5C">
        <w:rPr>
          <w:rFonts w:ascii="Arial" w:hAnsi="Arial" w:cs="Arial"/>
          <w:b/>
          <w:sz w:val="28"/>
          <w:szCs w:val="28"/>
        </w:rPr>
        <w:t>,</w:t>
      </w:r>
      <w:r w:rsidR="004C4B6A">
        <w:rPr>
          <w:rFonts w:ascii="Arial" w:hAnsi="Arial" w:cs="Arial"/>
          <w:b/>
          <w:sz w:val="28"/>
          <w:szCs w:val="28"/>
        </w:rPr>
        <w:t xml:space="preserve"> </w:t>
      </w:r>
      <w:r w:rsidR="00822DA7" w:rsidRPr="00822DA7">
        <w:rPr>
          <w:rFonts w:ascii="Arial" w:eastAsiaTheme="minorEastAsia" w:hAnsi="Arial" w:cs="Arial"/>
          <w:b/>
          <w:bCs/>
          <w:color w:val="000000"/>
          <w:sz w:val="28"/>
          <w:szCs w:val="28"/>
        </w:rPr>
        <w:t>NOVEMBER 2016</w:t>
      </w:r>
      <w:r w:rsidR="005419E1">
        <w:rPr>
          <w:rFonts w:ascii="Arial" w:eastAsiaTheme="minorEastAsia" w:hAnsi="Arial" w:cs="Arial"/>
          <w:b/>
          <w:bCs/>
          <w:color w:val="000000"/>
          <w:sz w:val="28"/>
          <w:szCs w:val="28"/>
        </w:rPr>
        <w:t xml:space="preserve"> </w:t>
      </w:r>
    </w:p>
    <w:p w14:paraId="5C3FB54A" w14:textId="5F1372DB" w:rsidR="00F27595" w:rsidRDefault="00071CE7" w:rsidP="00F27595">
      <w:pPr>
        <w:rPr>
          <w:rFonts w:ascii="Times New Roman" w:hAnsi="Times New Roman" w:cs="Times New Roman"/>
          <w:sz w:val="24"/>
          <w:szCs w:val="24"/>
        </w:rPr>
      </w:pPr>
      <w:r w:rsidRPr="005B61C2">
        <w:rPr>
          <w:rFonts w:ascii="Times New Roman" w:hAnsi="Times New Roman" w:cs="Times New Roman"/>
          <w:sz w:val="24"/>
          <w:szCs w:val="24"/>
        </w:rPr>
        <w:t>Releas</w:t>
      </w:r>
      <w:r w:rsidR="000065B4" w:rsidRPr="005B61C2">
        <w:rPr>
          <w:rFonts w:ascii="Times New Roman" w:hAnsi="Times New Roman" w:cs="Times New Roman"/>
          <w:sz w:val="24"/>
          <w:szCs w:val="24"/>
        </w:rPr>
        <w:t>e Number: CB</w:t>
      </w:r>
      <w:r w:rsidR="002A57D8" w:rsidRPr="002A57D8">
        <w:rPr>
          <w:rFonts w:ascii="Times New Roman" w:hAnsi="Times New Roman" w:cs="Times New Roman"/>
          <w:sz w:val="24"/>
          <w:szCs w:val="24"/>
        </w:rPr>
        <w:t>16-</w:t>
      </w:r>
      <w:r w:rsidR="005F36EE">
        <w:rPr>
          <w:rFonts w:ascii="Times New Roman" w:hAnsi="Times New Roman" w:cs="Times New Roman"/>
          <w:sz w:val="24"/>
          <w:szCs w:val="24"/>
        </w:rPr>
        <w:t>216</w:t>
      </w:r>
    </w:p>
    <w:p w14:paraId="7592DC94" w14:textId="23464B18" w:rsidR="003C521A" w:rsidRPr="00CB693B" w:rsidRDefault="00822DA7" w:rsidP="00386F07">
      <w:pPr>
        <w:spacing w:after="0"/>
        <w:rPr>
          <w:rFonts w:ascii="Times New Roman" w:hAnsi="Times New Roman" w:cs="Times New Roman"/>
          <w:sz w:val="24"/>
          <w:szCs w:val="24"/>
        </w:rPr>
        <w:sectPr w:rsidR="003C521A" w:rsidRPr="00CB693B" w:rsidSect="006D715D">
          <w:headerReference w:type="even" r:id="rId12"/>
          <w:headerReference w:type="default" r:id="rId13"/>
          <w:footerReference w:type="even" r:id="rId14"/>
          <w:footerReference w:type="default" r:id="rId15"/>
          <w:headerReference w:type="first" r:id="rId16"/>
          <w:footerReference w:type="first" r:id="rId17"/>
          <w:pgSz w:w="12240" w:h="15840"/>
          <w:pgMar w:top="450" w:right="720" w:bottom="720" w:left="720" w:header="720" w:footer="432" w:gutter="0"/>
          <w:cols w:space="720"/>
          <w:docGrid w:linePitch="360"/>
        </w:sectPr>
      </w:pPr>
      <w:r w:rsidRPr="00822DA7">
        <w:rPr>
          <w:rFonts w:ascii="Times New Roman" w:hAnsi="Times New Roman" w:cs="Times New Roman"/>
          <w:b/>
          <w:sz w:val="24"/>
          <w:szCs w:val="24"/>
        </w:rPr>
        <w:t>December 29, 2016</w:t>
      </w:r>
      <w:r w:rsidR="00F27595">
        <w:rPr>
          <w:rFonts w:ascii="Times New Roman" w:eastAsiaTheme="minorEastAsia" w:hAnsi="Times New Roman" w:cs="Times New Roman"/>
          <w:b/>
          <w:color w:val="000000"/>
          <w:sz w:val="24"/>
          <w:szCs w:val="24"/>
        </w:rPr>
        <w:t xml:space="preserve"> </w:t>
      </w:r>
      <w:r w:rsidR="003C521A" w:rsidRPr="005B61C2">
        <w:rPr>
          <w:rFonts w:ascii="Times New Roman" w:hAnsi="Times New Roman" w:cs="Times New Roman"/>
          <w:sz w:val="24"/>
          <w:szCs w:val="24"/>
        </w:rPr>
        <w:t>—</w:t>
      </w:r>
      <w:r w:rsidR="003C521A" w:rsidRPr="005B61C2">
        <w:rPr>
          <w:rFonts w:ascii="Times New Roman" w:hAnsi="Times New Roman" w:cs="Times New Roman"/>
          <w:b/>
          <w:sz w:val="24"/>
          <w:szCs w:val="24"/>
        </w:rPr>
        <w:t xml:space="preserve"> </w:t>
      </w:r>
      <w:r w:rsidR="003C521A" w:rsidRPr="005B61C2">
        <w:rPr>
          <w:rFonts w:ascii="Times New Roman" w:hAnsi="Times New Roman" w:cs="Times New Roman"/>
          <w:sz w:val="24"/>
          <w:szCs w:val="24"/>
        </w:rPr>
        <w:t xml:space="preserve">The U.S. Census Bureau announced the following </w:t>
      </w:r>
      <w:r w:rsidR="003C521A">
        <w:rPr>
          <w:rFonts w:ascii="Times New Roman" w:hAnsi="Times New Roman" w:cs="Times New Roman"/>
          <w:sz w:val="24"/>
          <w:szCs w:val="24"/>
        </w:rPr>
        <w:t xml:space="preserve">international trade, </w:t>
      </w:r>
      <w:r w:rsidR="00EE2189">
        <w:rPr>
          <w:rFonts w:ascii="Times New Roman" w:hAnsi="Times New Roman" w:cs="Times New Roman"/>
          <w:sz w:val="24"/>
          <w:szCs w:val="24"/>
        </w:rPr>
        <w:t>wholesale</w:t>
      </w:r>
      <w:r w:rsidR="003C521A">
        <w:rPr>
          <w:rFonts w:ascii="Times New Roman" w:hAnsi="Times New Roman" w:cs="Times New Roman"/>
          <w:sz w:val="24"/>
          <w:szCs w:val="24"/>
        </w:rPr>
        <w:t xml:space="preserve"> inventories, and </w:t>
      </w:r>
      <w:r w:rsidR="00EE2189">
        <w:rPr>
          <w:rFonts w:ascii="Times New Roman" w:hAnsi="Times New Roman" w:cs="Times New Roman"/>
          <w:sz w:val="24"/>
          <w:szCs w:val="24"/>
        </w:rPr>
        <w:t>retail</w:t>
      </w:r>
      <w:r w:rsidR="003C521A">
        <w:rPr>
          <w:rFonts w:ascii="Times New Roman" w:hAnsi="Times New Roman" w:cs="Times New Roman"/>
          <w:sz w:val="24"/>
          <w:szCs w:val="24"/>
        </w:rPr>
        <w:t xml:space="preserve"> inventories advance </w:t>
      </w:r>
      <w:r w:rsidR="00386F07">
        <w:rPr>
          <w:rFonts w:ascii="Times New Roman" w:hAnsi="Times New Roman" w:cs="Times New Roman"/>
          <w:sz w:val="24"/>
          <w:szCs w:val="24"/>
        </w:rPr>
        <w:t xml:space="preserve">statistics for </w:t>
      </w:r>
      <w:r w:rsidRPr="00822DA7">
        <w:rPr>
          <w:rFonts w:ascii="Times New Roman" w:hAnsi="Times New Roman" w:cs="Times New Roman"/>
          <w:sz w:val="24"/>
          <w:szCs w:val="24"/>
        </w:rPr>
        <w:t>November</w:t>
      </w:r>
      <w:r w:rsidRPr="00822DA7">
        <w:rPr>
          <w:rFonts w:ascii="Times New Roman" w:eastAsiaTheme="minorEastAsia" w:hAnsi="Times New Roman" w:cs="Times New Roman"/>
          <w:color w:val="000000"/>
          <w:sz w:val="24"/>
          <w:szCs w:val="24"/>
        </w:rPr>
        <w:t xml:space="preserve"> 2016</w:t>
      </w:r>
      <w:r w:rsidR="003C521A" w:rsidRPr="005B61C2">
        <w:rPr>
          <w:rFonts w:ascii="Times New Roman" w:hAnsi="Times New Roman" w:cs="Times New Roman"/>
          <w:sz w:val="24"/>
          <w:szCs w:val="24"/>
        </w:rPr>
        <w:t>:</w:t>
      </w:r>
    </w:p>
    <w:p w14:paraId="65584CC6" w14:textId="77777777" w:rsidR="00BD19E3" w:rsidRPr="005B61C2" w:rsidRDefault="00BD19E3" w:rsidP="00723ECC">
      <w:pPr>
        <w:spacing w:after="0"/>
        <w:rPr>
          <w:rFonts w:ascii="Times New Roman" w:hAnsi="Times New Roman" w:cs="Times New Roman"/>
          <w:sz w:val="24"/>
          <w:szCs w:val="24"/>
        </w:rPr>
      </w:pPr>
    </w:p>
    <w:tbl>
      <w:tblPr>
        <w:tblStyle w:val="TableGrid1"/>
        <w:tblpPr w:leftFromText="187" w:rightFromText="187" w:vertAnchor="text" w:horzAnchor="margin" w:tblpY="62"/>
        <w:tblW w:w="9774" w:type="dxa"/>
        <w:tblLayout w:type="fixed"/>
        <w:tblCellMar>
          <w:top w:w="72" w:type="dxa"/>
          <w:left w:w="144" w:type="dxa"/>
          <w:bottom w:w="72" w:type="dxa"/>
          <w:right w:w="144" w:type="dxa"/>
        </w:tblCellMar>
        <w:tblLook w:val="04A0" w:firstRow="1" w:lastRow="0" w:firstColumn="1" w:lastColumn="0" w:noHBand="0" w:noVBand="1"/>
      </w:tblPr>
      <w:tblGrid>
        <w:gridCol w:w="1404"/>
        <w:gridCol w:w="1613"/>
        <w:gridCol w:w="997"/>
        <w:gridCol w:w="1798"/>
        <w:gridCol w:w="1083"/>
        <w:gridCol w:w="1888"/>
        <w:gridCol w:w="991"/>
      </w:tblGrid>
      <w:tr w:rsidR="008B4B99" w:rsidRPr="008B4B99" w14:paraId="70904D05" w14:textId="77777777" w:rsidTr="00F12204">
        <w:trPr>
          <w:trHeight w:val="728"/>
        </w:trPr>
        <w:tc>
          <w:tcPr>
            <w:tcW w:w="718" w:type="pct"/>
            <w:tcBorders>
              <w:bottom w:val="single" w:sz="4" w:space="0" w:color="auto"/>
            </w:tcBorders>
            <w:shd w:val="clear" w:color="auto" w:fill="DBE5F1" w:themeFill="accent1" w:themeFillTint="33"/>
          </w:tcPr>
          <w:p w14:paraId="092483B7" w14:textId="77777777" w:rsidR="008B4B99" w:rsidRPr="008B4B99" w:rsidRDefault="008B4B99" w:rsidP="008B4B99">
            <w:pPr>
              <w:rPr>
                <w:rFonts w:cs="Times New Roman"/>
                <w:b/>
              </w:rPr>
            </w:pPr>
            <w:r w:rsidRPr="008B4B99">
              <w:rPr>
                <w:rFonts w:cs="Times New Roman"/>
                <w:b/>
              </w:rPr>
              <w:t xml:space="preserve">     </w:t>
            </w:r>
          </w:p>
        </w:tc>
        <w:tc>
          <w:tcPr>
            <w:tcW w:w="1335" w:type="pct"/>
            <w:gridSpan w:val="2"/>
            <w:tcBorders>
              <w:bottom w:val="single" w:sz="4" w:space="0" w:color="auto"/>
            </w:tcBorders>
            <w:shd w:val="clear" w:color="auto" w:fill="DBE5F1" w:themeFill="accent1" w:themeFillTint="33"/>
            <w:vAlign w:val="center"/>
          </w:tcPr>
          <w:p w14:paraId="58DDA7AB" w14:textId="77777777" w:rsidR="008B4B99" w:rsidRPr="0010680E" w:rsidRDefault="008B4B99" w:rsidP="008B4B99">
            <w:pPr>
              <w:jc w:val="center"/>
              <w:rPr>
                <w:rFonts w:ascii="Arial" w:hAnsi="Arial" w:cs="Arial"/>
                <w:b/>
                <w:noProof/>
              </w:rPr>
            </w:pPr>
            <w:r w:rsidRPr="008B4B99">
              <w:rPr>
                <w:rFonts w:cs="Times New Roman"/>
                <w:b/>
                <w:noProof/>
              </w:rPr>
              <w:drawing>
                <wp:anchor distT="0" distB="0" distL="114300" distR="114300" simplePos="0" relativeHeight="251660800" behindDoc="0" locked="0" layoutInCell="1" allowOverlap="1" wp14:anchorId="3581138A" wp14:editId="6CFD22B2">
                  <wp:simplePos x="0" y="0"/>
                  <wp:positionH relativeFrom="column">
                    <wp:posOffset>-66675</wp:posOffset>
                  </wp:positionH>
                  <wp:positionV relativeFrom="paragraph">
                    <wp:posOffset>-67945</wp:posOffset>
                  </wp:positionV>
                  <wp:extent cx="356235" cy="339725"/>
                  <wp:effectExtent l="0" t="0" r="5715" b="3175"/>
                  <wp:wrapNone/>
                  <wp:docPr id="5" name="Picture 5" descr="C:\Users\vezin005\AppData\Local\Microsoft\Windows\Temporary Internet Files\Content.IE5\SWTQ1E05\Eart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zin005\AppData\Local\Microsoft\Windows\Temporary Internet Files\Content.IE5\SWTQ1E05\Earth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6235" cy="33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B99">
              <w:rPr>
                <w:rFonts w:cs="Times New Roman"/>
                <w:b/>
              </w:rPr>
              <w:t xml:space="preserve">  </w:t>
            </w:r>
            <w:r w:rsidRPr="0010680E">
              <w:rPr>
                <w:rFonts w:ascii="Arial" w:hAnsi="Arial" w:cs="Arial"/>
                <w:b/>
                <w:sz w:val="18"/>
              </w:rPr>
              <w:t xml:space="preserve">ADVANCE </w:t>
            </w:r>
            <w:r w:rsidRPr="0010680E">
              <w:rPr>
                <w:rFonts w:ascii="Arial" w:hAnsi="Arial" w:cs="Arial"/>
                <w:b/>
                <w:sz w:val="18"/>
              </w:rPr>
              <w:br/>
              <w:t xml:space="preserve">    INTERNATIONAL </w:t>
            </w:r>
            <w:r w:rsidRPr="0010680E">
              <w:rPr>
                <w:rFonts w:ascii="Arial" w:hAnsi="Arial" w:cs="Arial"/>
                <w:b/>
                <w:sz w:val="18"/>
              </w:rPr>
              <w:br/>
              <w:t xml:space="preserve">  TRADE: GOODS DEFICIT</w:t>
            </w:r>
          </w:p>
        </w:tc>
        <w:tc>
          <w:tcPr>
            <w:tcW w:w="1474" w:type="pct"/>
            <w:gridSpan w:val="2"/>
            <w:tcBorders>
              <w:bottom w:val="single" w:sz="4" w:space="0" w:color="auto"/>
            </w:tcBorders>
            <w:shd w:val="clear" w:color="auto" w:fill="DBE5F1" w:themeFill="accent1" w:themeFillTint="33"/>
          </w:tcPr>
          <w:p w14:paraId="4A76410F" w14:textId="5B7BD5B6" w:rsidR="008B4B99" w:rsidRPr="0010680E" w:rsidRDefault="002B0E70" w:rsidP="008B4B99">
            <w:pPr>
              <w:jc w:val="center"/>
              <w:rPr>
                <w:rFonts w:ascii="Arial" w:hAnsi="Arial" w:cs="Arial"/>
                <w:b/>
                <w:noProof/>
                <w:sz w:val="18"/>
                <w:szCs w:val="18"/>
              </w:rPr>
            </w:pPr>
            <w:r w:rsidRPr="0010680E">
              <w:rPr>
                <w:rFonts w:ascii="Arial" w:hAnsi="Arial" w:cs="Arial"/>
                <w:b/>
                <w:noProof/>
                <w:sz w:val="18"/>
                <w:szCs w:val="18"/>
              </w:rPr>
              <w:drawing>
                <wp:anchor distT="0" distB="0" distL="114300" distR="114300" simplePos="0" relativeHeight="251657728" behindDoc="0" locked="0" layoutInCell="1" allowOverlap="1" wp14:anchorId="37860D3F" wp14:editId="38C27DA9">
                  <wp:simplePos x="0" y="0"/>
                  <wp:positionH relativeFrom="column">
                    <wp:posOffset>-45085</wp:posOffset>
                  </wp:positionH>
                  <wp:positionV relativeFrom="paragraph">
                    <wp:posOffset>-17145</wp:posOffset>
                  </wp:positionV>
                  <wp:extent cx="356235" cy="356235"/>
                  <wp:effectExtent l="0" t="0" r="5715"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ss.png"/>
                          <pic:cNvPicPr/>
                        </pic:nvPicPr>
                        <pic:blipFill>
                          <a:blip r:embed="rId19">
                            <a:extLst>
                              <a:ext uri="{28A0092B-C50C-407E-A947-70E740481C1C}">
                                <a14:useLocalDpi xmlns:a14="http://schemas.microsoft.com/office/drawing/2010/main" val="0"/>
                              </a:ext>
                            </a:extLst>
                          </a:blip>
                          <a:stretch>
                            <a:fillRect/>
                          </a:stretch>
                        </pic:blipFill>
                        <pic:spPr>
                          <a:xfrm>
                            <a:off x="0" y="0"/>
                            <a:ext cx="356235" cy="356235"/>
                          </a:xfrm>
                          <a:prstGeom prst="rect">
                            <a:avLst/>
                          </a:prstGeom>
                        </pic:spPr>
                      </pic:pic>
                    </a:graphicData>
                  </a:graphic>
                  <wp14:sizeRelH relativeFrom="page">
                    <wp14:pctWidth>0</wp14:pctWidth>
                  </wp14:sizeRelH>
                  <wp14:sizeRelV relativeFrom="page">
                    <wp14:pctHeight>0</wp14:pctHeight>
                  </wp14:sizeRelV>
                </wp:anchor>
              </w:drawing>
            </w:r>
            <w:r w:rsidRPr="0010680E">
              <w:rPr>
                <w:rFonts w:ascii="Arial" w:hAnsi="Arial" w:cs="Arial"/>
                <w:b/>
                <w:sz w:val="18"/>
                <w:szCs w:val="18"/>
              </w:rPr>
              <w:t xml:space="preserve">ADVANCE </w:t>
            </w:r>
            <w:r w:rsidRPr="0010680E">
              <w:rPr>
                <w:rFonts w:ascii="Arial" w:hAnsi="Arial" w:cs="Arial"/>
                <w:b/>
                <w:sz w:val="18"/>
                <w:szCs w:val="18"/>
              </w:rPr>
              <w:br/>
              <w:t xml:space="preserve">WHOLESALE </w:t>
            </w:r>
            <w:r w:rsidRPr="0010680E">
              <w:rPr>
                <w:rFonts w:ascii="Arial" w:hAnsi="Arial" w:cs="Arial"/>
                <w:b/>
                <w:sz w:val="18"/>
                <w:szCs w:val="18"/>
              </w:rPr>
              <w:br/>
              <w:t>INVENTORIES</w:t>
            </w:r>
          </w:p>
        </w:tc>
        <w:tc>
          <w:tcPr>
            <w:tcW w:w="1473" w:type="pct"/>
            <w:gridSpan w:val="2"/>
            <w:tcBorders>
              <w:bottom w:val="single" w:sz="4" w:space="0" w:color="auto"/>
            </w:tcBorders>
            <w:shd w:val="clear" w:color="auto" w:fill="DBE5F1" w:themeFill="accent1" w:themeFillTint="33"/>
          </w:tcPr>
          <w:p w14:paraId="35AAB28B" w14:textId="384FB42D" w:rsidR="008B4B99" w:rsidRPr="0010680E" w:rsidRDefault="002B0E70" w:rsidP="002B0E70">
            <w:pPr>
              <w:jc w:val="center"/>
              <w:rPr>
                <w:rFonts w:ascii="Arial" w:hAnsi="Arial" w:cs="Arial"/>
                <w:b/>
                <w:noProof/>
              </w:rPr>
            </w:pPr>
            <w:r w:rsidRPr="0010680E">
              <w:rPr>
                <w:rFonts w:ascii="Arial" w:hAnsi="Arial" w:cs="Arial"/>
                <w:noProof/>
                <w:sz w:val="18"/>
              </w:rPr>
              <w:drawing>
                <wp:anchor distT="0" distB="0" distL="114300" distR="114300" simplePos="0" relativeHeight="251654656" behindDoc="0" locked="0" layoutInCell="1" allowOverlap="1" wp14:anchorId="6AB7D8E7" wp14:editId="587EA3E3">
                  <wp:simplePos x="0" y="0"/>
                  <wp:positionH relativeFrom="column">
                    <wp:posOffset>-60917</wp:posOffset>
                  </wp:positionH>
                  <wp:positionV relativeFrom="paragraph">
                    <wp:posOffset>-19050</wp:posOffset>
                  </wp:positionV>
                  <wp:extent cx="358140" cy="343535"/>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ID Coord Staff\Standardization\Template\img\marts.pn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358140" cy="343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680E">
              <w:rPr>
                <w:rFonts w:ascii="Arial" w:hAnsi="Arial" w:cs="Arial"/>
                <w:b/>
                <w:sz w:val="18"/>
              </w:rPr>
              <w:t xml:space="preserve">ADVANCE </w:t>
            </w:r>
            <w:r w:rsidRPr="0010680E">
              <w:rPr>
                <w:rFonts w:ascii="Arial" w:hAnsi="Arial" w:cs="Arial"/>
                <w:b/>
                <w:sz w:val="18"/>
              </w:rPr>
              <w:br/>
              <w:t xml:space="preserve">RETAIL </w:t>
            </w:r>
            <w:r w:rsidRPr="0010680E">
              <w:rPr>
                <w:rFonts w:ascii="Arial" w:hAnsi="Arial" w:cs="Arial"/>
                <w:b/>
                <w:sz w:val="18"/>
              </w:rPr>
              <w:br/>
              <w:t>INVENTORIES</w:t>
            </w:r>
          </w:p>
        </w:tc>
      </w:tr>
      <w:tr w:rsidR="008B4B99" w:rsidRPr="008B4B99" w14:paraId="07F05A1A" w14:textId="77777777" w:rsidTr="00F12204">
        <w:trPr>
          <w:trHeight w:val="105"/>
        </w:trPr>
        <w:tc>
          <w:tcPr>
            <w:tcW w:w="718" w:type="pct"/>
            <w:tcBorders>
              <w:bottom w:val="nil"/>
            </w:tcBorders>
            <w:vAlign w:val="center"/>
          </w:tcPr>
          <w:p w14:paraId="6AE7A071" w14:textId="58001678" w:rsidR="008B4B99" w:rsidRPr="003B01EC" w:rsidRDefault="00822DA7" w:rsidP="003E3A9D">
            <w:pPr>
              <w:rPr>
                <w:rFonts w:ascii="Arial" w:eastAsiaTheme="minorEastAsia" w:hAnsi="Arial" w:cs="Arial"/>
                <w:b/>
                <w:color w:val="000000"/>
                <w:sz w:val="16"/>
                <w:szCs w:val="16"/>
              </w:rPr>
            </w:pPr>
            <w:r w:rsidRPr="00822DA7">
              <w:rPr>
                <w:rFonts w:ascii="Arial" w:eastAsiaTheme="minorEastAsia" w:hAnsi="Arial" w:cs="Arial"/>
                <w:b/>
                <w:color w:val="000000"/>
                <w:sz w:val="16"/>
                <w:szCs w:val="16"/>
              </w:rPr>
              <w:t>NOVEMBER 2016</w:t>
            </w:r>
          </w:p>
        </w:tc>
        <w:tc>
          <w:tcPr>
            <w:tcW w:w="825" w:type="pct"/>
            <w:tcBorders>
              <w:bottom w:val="nil"/>
              <w:right w:val="nil"/>
            </w:tcBorders>
            <w:vAlign w:val="center"/>
          </w:tcPr>
          <w:p w14:paraId="5302F0FB" w14:textId="10A23FBA" w:rsidR="008B4B99" w:rsidRPr="003B01EC" w:rsidRDefault="00822DA7" w:rsidP="004F731F">
            <w:pPr>
              <w:rPr>
                <w:rFonts w:ascii="Arial" w:hAnsi="Arial" w:cs="Arial"/>
                <w:b/>
                <w:sz w:val="16"/>
                <w:szCs w:val="16"/>
              </w:rPr>
            </w:pPr>
            <w:r w:rsidRPr="00822DA7">
              <w:rPr>
                <w:rFonts w:ascii="Arial" w:eastAsiaTheme="minorEastAsia" w:hAnsi="Arial" w:cs="Arial"/>
                <w:b/>
                <w:bCs/>
                <w:color w:val="000000"/>
                <w:sz w:val="16"/>
                <w:szCs w:val="16"/>
              </w:rPr>
              <w:t>$65.3</w:t>
            </w:r>
            <w:r w:rsidR="007333F1" w:rsidRPr="003B01EC">
              <w:rPr>
                <w:rFonts w:ascii="Arial" w:eastAsiaTheme="minorEastAsia" w:hAnsi="Arial" w:cs="Arial"/>
                <w:b/>
                <w:bCs/>
                <w:color w:val="000000"/>
                <w:sz w:val="16"/>
                <w:szCs w:val="16"/>
              </w:rPr>
              <w:t xml:space="preserve"> </w:t>
            </w:r>
            <w:r w:rsidR="008B4B99" w:rsidRPr="003B01EC">
              <w:rPr>
                <w:rFonts w:ascii="Arial" w:hAnsi="Arial" w:cs="Arial"/>
                <w:b/>
                <w:sz w:val="16"/>
                <w:szCs w:val="16"/>
              </w:rPr>
              <w:t>Billion</w:t>
            </w:r>
          </w:p>
        </w:tc>
        <w:tc>
          <w:tcPr>
            <w:tcW w:w="510" w:type="pct"/>
            <w:tcBorders>
              <w:left w:val="nil"/>
              <w:bottom w:val="nil"/>
              <w:right w:val="single" w:sz="4" w:space="0" w:color="auto"/>
            </w:tcBorders>
            <w:shd w:val="clear" w:color="auto" w:fill="auto"/>
            <w:vAlign w:val="center"/>
          </w:tcPr>
          <w:p w14:paraId="32E3B69C" w14:textId="2222FE04" w:rsidR="008B4B99" w:rsidRPr="003B01EC" w:rsidRDefault="00822DA7" w:rsidP="004F731F">
            <w:pPr>
              <w:rPr>
                <w:rFonts w:ascii="Arial" w:hAnsi="Arial" w:cs="Arial"/>
                <w:sz w:val="16"/>
                <w:szCs w:val="16"/>
              </w:rPr>
            </w:pPr>
            <w:r w:rsidRPr="00822DA7">
              <w:rPr>
                <w:rFonts w:ascii="Arial" w:eastAsiaTheme="minorEastAsia" w:hAnsi="Arial" w:cs="Arial"/>
                <w:b/>
                <w:bCs/>
                <w:color w:val="000000"/>
                <w:sz w:val="16"/>
                <w:szCs w:val="16"/>
              </w:rPr>
              <w:t>+5.5%°</w:t>
            </w:r>
          </w:p>
        </w:tc>
        <w:tc>
          <w:tcPr>
            <w:tcW w:w="920" w:type="pct"/>
            <w:tcBorders>
              <w:left w:val="single" w:sz="4" w:space="0" w:color="auto"/>
              <w:bottom w:val="nil"/>
              <w:right w:val="nil"/>
            </w:tcBorders>
            <w:vAlign w:val="center"/>
          </w:tcPr>
          <w:p w14:paraId="64E147F3" w14:textId="23B3824E" w:rsidR="008B4B99" w:rsidRPr="003B01EC" w:rsidRDefault="00822DA7" w:rsidP="004F731F">
            <w:pPr>
              <w:rPr>
                <w:rFonts w:ascii="Arial" w:hAnsi="Arial" w:cs="Arial"/>
                <w:sz w:val="16"/>
                <w:szCs w:val="16"/>
              </w:rPr>
            </w:pPr>
            <w:r w:rsidRPr="00822DA7">
              <w:rPr>
                <w:rFonts w:ascii="Arial" w:eastAsiaTheme="minorEastAsia" w:hAnsi="Arial" w:cs="Arial"/>
                <w:b/>
                <w:bCs/>
                <w:color w:val="000000"/>
                <w:sz w:val="16"/>
                <w:szCs w:val="16"/>
              </w:rPr>
              <w:t>$594.5</w:t>
            </w:r>
            <w:r w:rsidR="008B4B99" w:rsidRPr="003B01EC">
              <w:rPr>
                <w:rFonts w:ascii="Arial" w:hAnsi="Arial" w:cs="Arial"/>
                <w:b/>
                <w:noProof/>
                <w:sz w:val="16"/>
                <w:szCs w:val="16"/>
              </w:rPr>
              <w:t xml:space="preserve"> Billion</w:t>
            </w:r>
          </w:p>
        </w:tc>
        <w:tc>
          <w:tcPr>
            <w:tcW w:w="554" w:type="pct"/>
            <w:tcBorders>
              <w:left w:val="nil"/>
              <w:bottom w:val="nil"/>
              <w:right w:val="single" w:sz="4" w:space="0" w:color="auto"/>
            </w:tcBorders>
            <w:vAlign w:val="center"/>
          </w:tcPr>
          <w:p w14:paraId="319227D8" w14:textId="65EBFDBE" w:rsidR="008B4B99" w:rsidRPr="003B01EC" w:rsidRDefault="00822DA7" w:rsidP="004F731F">
            <w:pPr>
              <w:rPr>
                <w:rFonts w:ascii="Arial" w:hAnsi="Arial" w:cs="Arial"/>
                <w:b/>
                <w:noProof/>
                <w:sz w:val="16"/>
                <w:szCs w:val="16"/>
              </w:rPr>
            </w:pPr>
            <w:r w:rsidRPr="00822DA7">
              <w:rPr>
                <w:rFonts w:ascii="Arial" w:eastAsiaTheme="minorEastAsia" w:hAnsi="Arial" w:cs="Arial"/>
                <w:b/>
                <w:bCs/>
                <w:color w:val="000000"/>
                <w:sz w:val="16"/>
                <w:szCs w:val="16"/>
              </w:rPr>
              <w:t>+0.9%</w:t>
            </w:r>
          </w:p>
        </w:tc>
        <w:tc>
          <w:tcPr>
            <w:tcW w:w="966" w:type="pct"/>
            <w:tcBorders>
              <w:left w:val="single" w:sz="4" w:space="0" w:color="auto"/>
              <w:bottom w:val="nil"/>
              <w:right w:val="nil"/>
            </w:tcBorders>
            <w:vAlign w:val="center"/>
          </w:tcPr>
          <w:p w14:paraId="4F0F58E4" w14:textId="3255D122" w:rsidR="008B4B99" w:rsidRPr="003B01EC" w:rsidRDefault="00822DA7" w:rsidP="004F731F">
            <w:pPr>
              <w:rPr>
                <w:rFonts w:ascii="Arial" w:hAnsi="Arial" w:cs="Arial"/>
                <w:sz w:val="16"/>
                <w:szCs w:val="16"/>
              </w:rPr>
            </w:pPr>
            <w:r w:rsidRPr="00822DA7">
              <w:rPr>
                <w:rFonts w:ascii="Arial" w:eastAsiaTheme="minorEastAsia" w:hAnsi="Arial" w:cs="Arial"/>
                <w:b/>
                <w:bCs/>
                <w:color w:val="000000"/>
                <w:sz w:val="16"/>
                <w:szCs w:val="16"/>
              </w:rPr>
              <w:t>$609.6</w:t>
            </w:r>
            <w:r w:rsidR="008B4B99" w:rsidRPr="003B01EC">
              <w:rPr>
                <w:rFonts w:ascii="Arial" w:hAnsi="Arial" w:cs="Arial"/>
                <w:b/>
                <w:noProof/>
                <w:sz w:val="16"/>
                <w:szCs w:val="16"/>
              </w:rPr>
              <w:t xml:space="preserve"> Billion</w:t>
            </w:r>
          </w:p>
        </w:tc>
        <w:tc>
          <w:tcPr>
            <w:tcW w:w="507" w:type="pct"/>
            <w:tcBorders>
              <w:left w:val="nil"/>
              <w:bottom w:val="nil"/>
            </w:tcBorders>
            <w:vAlign w:val="center"/>
          </w:tcPr>
          <w:p w14:paraId="1AD2115A" w14:textId="287BCD07" w:rsidR="008B4B99" w:rsidRPr="003B01EC" w:rsidRDefault="00822DA7" w:rsidP="004F731F">
            <w:pPr>
              <w:rPr>
                <w:rFonts w:ascii="Arial" w:hAnsi="Arial" w:cs="Arial"/>
                <w:b/>
                <w:noProof/>
              </w:rPr>
            </w:pPr>
            <w:r w:rsidRPr="00822DA7">
              <w:rPr>
                <w:rFonts w:ascii="Arial" w:eastAsiaTheme="minorEastAsia" w:hAnsi="Arial" w:cs="Arial"/>
                <w:b/>
                <w:bCs/>
                <w:color w:val="000000"/>
                <w:sz w:val="16"/>
              </w:rPr>
              <w:t>+1</w:t>
            </w:r>
            <w:r w:rsidR="00F64A27">
              <w:rPr>
                <w:rFonts w:ascii="Arial" w:eastAsiaTheme="minorEastAsia" w:hAnsi="Arial" w:cs="Arial"/>
                <w:b/>
                <w:bCs/>
                <w:color w:val="000000"/>
                <w:sz w:val="16"/>
              </w:rPr>
              <w:t>.0</w:t>
            </w:r>
            <w:r w:rsidRPr="00822DA7">
              <w:rPr>
                <w:rFonts w:ascii="Arial" w:eastAsiaTheme="minorEastAsia" w:hAnsi="Arial" w:cs="Arial"/>
                <w:b/>
                <w:bCs/>
                <w:color w:val="000000"/>
                <w:sz w:val="16"/>
              </w:rPr>
              <w:t>%</w:t>
            </w:r>
          </w:p>
        </w:tc>
      </w:tr>
      <w:tr w:rsidR="008B4B99" w:rsidRPr="008B4B99" w14:paraId="0C3DAF77" w14:textId="77777777" w:rsidTr="00F12204">
        <w:trPr>
          <w:trHeight w:val="174"/>
        </w:trPr>
        <w:tc>
          <w:tcPr>
            <w:tcW w:w="718" w:type="pct"/>
            <w:tcBorders>
              <w:top w:val="nil"/>
              <w:bottom w:val="single" w:sz="4" w:space="0" w:color="auto"/>
            </w:tcBorders>
            <w:vAlign w:val="center"/>
          </w:tcPr>
          <w:p w14:paraId="2ABD57F6" w14:textId="5078D12A" w:rsidR="008B4B99" w:rsidRPr="003B01EC" w:rsidRDefault="00822DA7" w:rsidP="003E3A9D">
            <w:pPr>
              <w:rPr>
                <w:rFonts w:ascii="Arial" w:hAnsi="Arial" w:cs="Arial"/>
                <w:sz w:val="16"/>
                <w:szCs w:val="16"/>
              </w:rPr>
            </w:pPr>
            <w:r w:rsidRPr="00822DA7">
              <w:rPr>
                <w:rFonts w:ascii="Arial" w:eastAsiaTheme="minorEastAsia" w:hAnsi="Arial" w:cs="Arial"/>
                <w:b/>
                <w:color w:val="000000"/>
                <w:sz w:val="16"/>
                <w:szCs w:val="16"/>
              </w:rPr>
              <w:t>OCTOBER 2016</w:t>
            </w:r>
          </w:p>
        </w:tc>
        <w:tc>
          <w:tcPr>
            <w:tcW w:w="825" w:type="pct"/>
            <w:tcBorders>
              <w:top w:val="nil"/>
              <w:bottom w:val="single" w:sz="4" w:space="0" w:color="auto"/>
              <w:right w:val="nil"/>
            </w:tcBorders>
            <w:vAlign w:val="center"/>
          </w:tcPr>
          <w:p w14:paraId="3CE43AE7" w14:textId="0E386F7F" w:rsidR="008B4B99" w:rsidRPr="003B01EC" w:rsidRDefault="00822DA7" w:rsidP="004F731F">
            <w:pPr>
              <w:rPr>
                <w:rFonts w:ascii="Arial" w:hAnsi="Arial" w:cs="Arial"/>
                <w:sz w:val="16"/>
                <w:szCs w:val="16"/>
              </w:rPr>
            </w:pPr>
            <w:r w:rsidRPr="00822DA7">
              <w:rPr>
                <w:rFonts w:ascii="Arial" w:eastAsiaTheme="minorEastAsia" w:hAnsi="Arial" w:cs="Arial"/>
                <w:b/>
                <w:bCs/>
                <w:color w:val="000000"/>
                <w:sz w:val="16"/>
                <w:szCs w:val="16"/>
              </w:rPr>
              <w:t>$61.9</w:t>
            </w:r>
            <w:r w:rsidR="008B4B99" w:rsidRPr="003B01EC">
              <w:rPr>
                <w:rFonts w:ascii="Arial" w:hAnsi="Arial" w:cs="Arial"/>
                <w:b/>
                <w:sz w:val="16"/>
                <w:szCs w:val="16"/>
              </w:rPr>
              <w:t xml:space="preserve"> Billion</w:t>
            </w:r>
          </w:p>
        </w:tc>
        <w:tc>
          <w:tcPr>
            <w:tcW w:w="510" w:type="pct"/>
            <w:tcBorders>
              <w:top w:val="nil"/>
              <w:left w:val="nil"/>
              <w:bottom w:val="single" w:sz="4" w:space="0" w:color="auto"/>
              <w:right w:val="single" w:sz="4" w:space="0" w:color="auto"/>
            </w:tcBorders>
            <w:vAlign w:val="center"/>
          </w:tcPr>
          <w:p w14:paraId="1AB49526" w14:textId="77777777" w:rsidR="008B4B99" w:rsidRPr="003B01EC" w:rsidRDefault="008B4B99" w:rsidP="008B4B99">
            <w:pPr>
              <w:rPr>
                <w:rFonts w:ascii="Arial" w:hAnsi="Arial" w:cs="Arial"/>
                <w:b/>
                <w:sz w:val="16"/>
                <w:szCs w:val="16"/>
              </w:rPr>
            </w:pPr>
          </w:p>
        </w:tc>
        <w:tc>
          <w:tcPr>
            <w:tcW w:w="920" w:type="pct"/>
            <w:tcBorders>
              <w:top w:val="nil"/>
              <w:left w:val="single" w:sz="4" w:space="0" w:color="auto"/>
              <w:bottom w:val="single" w:sz="4" w:space="0" w:color="auto"/>
              <w:right w:val="nil"/>
            </w:tcBorders>
            <w:vAlign w:val="center"/>
          </w:tcPr>
          <w:p w14:paraId="1CCA957E" w14:textId="070EEB7F" w:rsidR="008B4B99" w:rsidRPr="003B01EC" w:rsidRDefault="00822DA7" w:rsidP="004F731F">
            <w:pPr>
              <w:ind w:right="-146"/>
              <w:rPr>
                <w:rFonts w:ascii="Arial" w:hAnsi="Arial" w:cs="Arial"/>
                <w:sz w:val="16"/>
                <w:szCs w:val="16"/>
              </w:rPr>
            </w:pPr>
            <w:r w:rsidRPr="00822DA7">
              <w:rPr>
                <w:rFonts w:ascii="Arial" w:eastAsiaTheme="minorEastAsia" w:hAnsi="Arial" w:cs="Arial"/>
                <w:b/>
                <w:bCs/>
                <w:color w:val="000000"/>
                <w:sz w:val="16"/>
                <w:szCs w:val="16"/>
              </w:rPr>
              <w:t>$589.1</w:t>
            </w:r>
            <w:r w:rsidR="007333F1" w:rsidRPr="003B01EC">
              <w:rPr>
                <w:rFonts w:ascii="Arial" w:eastAsiaTheme="minorEastAsia" w:hAnsi="Arial" w:cs="Arial"/>
                <w:b/>
                <w:bCs/>
                <w:color w:val="000000"/>
                <w:sz w:val="16"/>
                <w:szCs w:val="16"/>
              </w:rPr>
              <w:t xml:space="preserve"> </w:t>
            </w:r>
            <w:r w:rsidR="008B4B99" w:rsidRPr="003B01EC">
              <w:rPr>
                <w:rFonts w:ascii="Arial" w:hAnsi="Arial" w:cs="Arial"/>
                <w:b/>
                <w:noProof/>
                <w:sz w:val="16"/>
                <w:szCs w:val="16"/>
              </w:rPr>
              <w:t>Billion (R)</w:t>
            </w:r>
          </w:p>
        </w:tc>
        <w:tc>
          <w:tcPr>
            <w:tcW w:w="554" w:type="pct"/>
            <w:tcBorders>
              <w:top w:val="nil"/>
              <w:left w:val="nil"/>
              <w:bottom w:val="single" w:sz="4" w:space="0" w:color="auto"/>
              <w:right w:val="single" w:sz="4" w:space="0" w:color="auto"/>
            </w:tcBorders>
            <w:vAlign w:val="center"/>
          </w:tcPr>
          <w:p w14:paraId="22D5CF94" w14:textId="77777777" w:rsidR="008B4B99" w:rsidRPr="003B01EC" w:rsidRDefault="008B4B99" w:rsidP="008B4B99">
            <w:pPr>
              <w:rPr>
                <w:rFonts w:ascii="Arial" w:hAnsi="Arial" w:cs="Arial"/>
                <w:b/>
                <w:noProof/>
                <w:sz w:val="16"/>
                <w:szCs w:val="16"/>
              </w:rPr>
            </w:pPr>
          </w:p>
        </w:tc>
        <w:tc>
          <w:tcPr>
            <w:tcW w:w="966" w:type="pct"/>
            <w:tcBorders>
              <w:top w:val="nil"/>
              <w:left w:val="single" w:sz="4" w:space="0" w:color="auto"/>
              <w:bottom w:val="single" w:sz="4" w:space="0" w:color="auto"/>
              <w:right w:val="nil"/>
            </w:tcBorders>
            <w:vAlign w:val="center"/>
          </w:tcPr>
          <w:p w14:paraId="7F891B35" w14:textId="796BB34F" w:rsidR="008B4B99" w:rsidRPr="003B01EC" w:rsidRDefault="00822DA7" w:rsidP="004F731F">
            <w:pPr>
              <w:ind w:right="-145"/>
              <w:rPr>
                <w:rFonts w:ascii="Arial" w:hAnsi="Arial" w:cs="Arial"/>
                <w:sz w:val="16"/>
                <w:szCs w:val="16"/>
              </w:rPr>
            </w:pPr>
            <w:r w:rsidRPr="00822DA7">
              <w:rPr>
                <w:rFonts w:ascii="Arial" w:eastAsiaTheme="minorEastAsia" w:hAnsi="Arial" w:cs="Arial"/>
                <w:b/>
                <w:bCs/>
                <w:color w:val="000000"/>
                <w:sz w:val="16"/>
                <w:szCs w:val="16"/>
              </w:rPr>
              <w:t>$603.4</w:t>
            </w:r>
            <w:r w:rsidR="007333F1" w:rsidRPr="003B01EC">
              <w:rPr>
                <w:rFonts w:ascii="Arial" w:eastAsiaTheme="minorEastAsia" w:hAnsi="Arial" w:cs="Arial"/>
                <w:b/>
                <w:bCs/>
                <w:color w:val="000000"/>
                <w:sz w:val="16"/>
                <w:szCs w:val="16"/>
              </w:rPr>
              <w:t xml:space="preserve"> </w:t>
            </w:r>
            <w:r w:rsidR="008B4B99" w:rsidRPr="003B01EC">
              <w:rPr>
                <w:rFonts w:ascii="Arial" w:hAnsi="Arial" w:cs="Arial"/>
                <w:b/>
                <w:noProof/>
                <w:sz w:val="16"/>
                <w:szCs w:val="16"/>
              </w:rPr>
              <w:t>Billion (R)</w:t>
            </w:r>
          </w:p>
        </w:tc>
        <w:tc>
          <w:tcPr>
            <w:tcW w:w="507" w:type="pct"/>
            <w:tcBorders>
              <w:top w:val="nil"/>
              <w:left w:val="nil"/>
              <w:bottom w:val="single" w:sz="4" w:space="0" w:color="auto"/>
            </w:tcBorders>
            <w:vAlign w:val="center"/>
          </w:tcPr>
          <w:p w14:paraId="49E5B42B" w14:textId="77777777" w:rsidR="008B4B99" w:rsidRPr="008B4B99" w:rsidRDefault="008B4B99" w:rsidP="008B4B99">
            <w:pPr>
              <w:rPr>
                <w:rFonts w:cs="Times New Roman"/>
                <w:b/>
                <w:noProof/>
              </w:rPr>
            </w:pPr>
          </w:p>
        </w:tc>
      </w:tr>
      <w:tr w:rsidR="00670833" w:rsidRPr="008B4B99" w14:paraId="0FA230E2" w14:textId="77777777" w:rsidTr="00670833">
        <w:trPr>
          <w:trHeight w:val="174"/>
        </w:trPr>
        <w:tc>
          <w:tcPr>
            <w:tcW w:w="5000" w:type="pct"/>
            <w:gridSpan w:val="7"/>
            <w:tcBorders>
              <w:top w:val="single" w:sz="4" w:space="0" w:color="auto"/>
            </w:tcBorders>
            <w:vAlign w:val="center"/>
          </w:tcPr>
          <w:p w14:paraId="369E80F6" w14:textId="71FA009E" w:rsidR="003B01EC" w:rsidRPr="003B01EC" w:rsidRDefault="003B01EC" w:rsidP="003B01EC">
            <w:pPr>
              <w:ind w:right="-145"/>
              <w:rPr>
                <w:rFonts w:ascii="Arial" w:eastAsiaTheme="minorEastAsia" w:hAnsi="Arial" w:cs="Arial"/>
                <w:b/>
                <w:color w:val="000000"/>
                <w:sz w:val="16"/>
                <w:szCs w:val="16"/>
              </w:rPr>
            </w:pPr>
            <w:r w:rsidRPr="003B01EC">
              <w:rPr>
                <w:rFonts w:ascii="Arial" w:eastAsiaTheme="minorEastAsia" w:hAnsi="Arial" w:cs="Arial"/>
                <w:b/>
                <w:color w:val="000000"/>
                <w:sz w:val="16"/>
                <w:szCs w:val="16"/>
              </w:rPr>
              <w:t>Next</w:t>
            </w:r>
            <w:r w:rsidR="00036F8C">
              <w:rPr>
                <w:rFonts w:ascii="Arial" w:eastAsiaTheme="minorEastAsia" w:hAnsi="Arial" w:cs="Arial"/>
                <w:b/>
                <w:color w:val="000000"/>
                <w:sz w:val="16"/>
                <w:szCs w:val="16"/>
              </w:rPr>
              <w:t xml:space="preserve"> release</w:t>
            </w:r>
            <w:r w:rsidRPr="003B01EC">
              <w:rPr>
                <w:rFonts w:ascii="Arial" w:eastAsiaTheme="minorEastAsia" w:hAnsi="Arial" w:cs="Arial"/>
                <w:b/>
                <w:color w:val="000000"/>
                <w:sz w:val="16"/>
                <w:szCs w:val="16"/>
              </w:rPr>
              <w:t xml:space="preserve">: </w:t>
            </w:r>
            <w:r w:rsidR="00822DA7" w:rsidRPr="00822DA7">
              <w:rPr>
                <w:rFonts w:ascii="Arial" w:eastAsiaTheme="minorEastAsia" w:hAnsi="Arial" w:cs="Arial"/>
                <w:b/>
                <w:color w:val="000000"/>
                <w:sz w:val="16"/>
                <w:szCs w:val="16"/>
              </w:rPr>
              <w:t>January 26, 2017</w:t>
            </w:r>
            <w:r w:rsidRPr="003B01EC">
              <w:rPr>
                <w:rFonts w:ascii="Arial" w:eastAsiaTheme="minorEastAsia" w:hAnsi="Arial" w:cs="Arial"/>
                <w:b/>
                <w:color w:val="000000"/>
                <w:sz w:val="16"/>
                <w:szCs w:val="16"/>
              </w:rPr>
              <w:t>.</w:t>
            </w:r>
          </w:p>
          <w:p w14:paraId="5C3349AE" w14:textId="77777777" w:rsidR="003B01EC" w:rsidRDefault="003B01EC" w:rsidP="00132F5D">
            <w:pPr>
              <w:rPr>
                <w:rFonts w:ascii="Arial" w:eastAsiaTheme="minorEastAsia" w:hAnsi="Arial" w:cs="Arial"/>
                <w:color w:val="000000"/>
                <w:sz w:val="12"/>
                <w:szCs w:val="12"/>
              </w:rPr>
            </w:pPr>
          </w:p>
          <w:p w14:paraId="26DA5710" w14:textId="23367AE1" w:rsidR="00132F5D" w:rsidRPr="003B01EC" w:rsidRDefault="00132F5D" w:rsidP="00132F5D">
            <w:pPr>
              <w:rPr>
                <w:rFonts w:ascii="Arial" w:eastAsiaTheme="minorEastAsia" w:hAnsi="Arial" w:cs="Arial"/>
                <w:color w:val="000000"/>
                <w:sz w:val="14"/>
                <w:szCs w:val="12"/>
              </w:rPr>
            </w:pPr>
            <w:r w:rsidRPr="003B01EC">
              <w:rPr>
                <w:rFonts w:ascii="Arial" w:eastAsiaTheme="minorEastAsia" w:hAnsi="Arial" w:cs="Arial"/>
                <w:color w:val="000000"/>
                <w:sz w:val="14"/>
                <w:szCs w:val="12"/>
              </w:rPr>
              <w:t>* The 90 percent confidence interval includes zero.</w:t>
            </w:r>
            <w:r w:rsidR="00EF738A">
              <w:rPr>
                <w:rFonts w:ascii="Arial" w:eastAsiaTheme="minorEastAsia" w:hAnsi="Arial" w:cs="Arial"/>
                <w:color w:val="000000"/>
                <w:sz w:val="14"/>
                <w:szCs w:val="12"/>
              </w:rPr>
              <w:t xml:space="preserve"> There is insufficient evidence to conclude that the actual change is different from zero.</w:t>
            </w:r>
            <w:r w:rsidRPr="003B01EC">
              <w:rPr>
                <w:rFonts w:ascii="Arial" w:eastAsiaTheme="minorEastAsia" w:hAnsi="Arial" w:cs="Arial"/>
                <w:color w:val="000000"/>
                <w:sz w:val="14"/>
                <w:szCs w:val="12"/>
              </w:rPr>
              <w:t xml:space="preserve"> ° Statistical significance is not applicable or not measurable.</w:t>
            </w:r>
          </w:p>
          <w:p w14:paraId="7CB8D9B6" w14:textId="60F6C0BD" w:rsidR="009319BC" w:rsidRPr="009104D7" w:rsidRDefault="00EF738A" w:rsidP="009104D7">
            <w:pPr>
              <w:rPr>
                <w:rFonts w:ascii="Arial" w:eastAsiaTheme="minorEastAsia" w:hAnsi="Arial" w:cs="Arial"/>
                <w:color w:val="000000"/>
                <w:sz w:val="12"/>
                <w:szCs w:val="12"/>
              </w:rPr>
            </w:pPr>
            <w:r>
              <w:rPr>
                <w:rFonts w:ascii="Arial" w:eastAsiaTheme="minorEastAsia" w:hAnsi="Arial" w:cs="Arial"/>
                <w:color w:val="000000"/>
                <w:sz w:val="14"/>
                <w:szCs w:val="12"/>
              </w:rPr>
              <w:t>D</w:t>
            </w:r>
            <w:r w:rsidR="009319BC" w:rsidRPr="003B01EC">
              <w:rPr>
                <w:rFonts w:ascii="Arial" w:eastAsiaTheme="minorEastAsia" w:hAnsi="Arial" w:cs="Arial"/>
                <w:color w:val="000000"/>
                <w:sz w:val="14"/>
                <w:szCs w:val="12"/>
              </w:rPr>
              <w:t>ata adju</w:t>
            </w:r>
            <w:r w:rsidR="006E2F46">
              <w:rPr>
                <w:rFonts w:ascii="Arial" w:eastAsiaTheme="minorEastAsia" w:hAnsi="Arial" w:cs="Arial"/>
                <w:color w:val="000000"/>
                <w:sz w:val="14"/>
                <w:szCs w:val="12"/>
              </w:rPr>
              <w:t>sted for seasonality but not</w:t>
            </w:r>
            <w:r w:rsidR="009319BC" w:rsidRPr="003B01EC">
              <w:rPr>
                <w:rFonts w:ascii="Arial" w:eastAsiaTheme="minorEastAsia" w:hAnsi="Arial" w:cs="Arial"/>
                <w:color w:val="000000"/>
                <w:sz w:val="14"/>
                <w:szCs w:val="12"/>
              </w:rPr>
              <w:t xml:space="preserve"> price changes.</w:t>
            </w:r>
          </w:p>
          <w:p w14:paraId="3E34EE2E" w14:textId="2065C7BD" w:rsidR="009104D7" w:rsidRPr="009319BC" w:rsidRDefault="00132F5D" w:rsidP="009104D7">
            <w:pPr>
              <w:rPr>
                <w:rFonts w:ascii="Arial" w:eastAsiaTheme="minorEastAsia" w:hAnsi="Arial" w:cs="Arial"/>
                <w:color w:val="000000"/>
                <w:sz w:val="12"/>
                <w:szCs w:val="12"/>
              </w:rPr>
            </w:pPr>
            <w:r w:rsidRPr="003B01EC">
              <w:rPr>
                <w:rFonts w:ascii="Arial" w:eastAsiaTheme="minorEastAsia" w:hAnsi="Arial" w:cs="Arial"/>
                <w:color w:val="000000"/>
                <w:sz w:val="14"/>
                <w:szCs w:val="12"/>
              </w:rPr>
              <w:t xml:space="preserve">Source: U.S. Census Bureau; U.S. International Trade in Goods; Monthly Wholesale Trade Survey; Monthly Retail Trade Survey. </w:t>
            </w:r>
          </w:p>
        </w:tc>
      </w:tr>
    </w:tbl>
    <w:p w14:paraId="3F951BDD" w14:textId="77777777" w:rsidR="00AF29B5" w:rsidRDefault="00AF29B5" w:rsidP="00D23876">
      <w:pPr>
        <w:tabs>
          <w:tab w:val="left" w:pos="-360"/>
        </w:tabs>
        <w:spacing w:after="0"/>
        <w:ind w:left="-360"/>
        <w:rPr>
          <w:rFonts w:ascii="Times New Roman" w:hAnsi="Times New Roman" w:cs="Times New Roman"/>
          <w:b/>
          <w:sz w:val="24"/>
          <w:szCs w:val="24"/>
        </w:rPr>
      </w:pPr>
    </w:p>
    <w:p w14:paraId="4C5672EE" w14:textId="429656A9" w:rsidR="00AF29B5" w:rsidRPr="00CF703E" w:rsidRDefault="001A55F3" w:rsidP="00AF29B5">
      <w:pPr>
        <w:tabs>
          <w:tab w:val="left" w:pos="-360"/>
        </w:tabs>
        <w:spacing w:after="0"/>
        <w:ind w:left="-360"/>
        <w:rPr>
          <w:rFonts w:ascii="Times New Roman" w:hAnsi="Times New Roman" w:cs="Times New Roman"/>
          <w:b/>
          <w:sz w:val="24"/>
          <w:szCs w:val="24"/>
        </w:rPr>
      </w:pPr>
      <w:r w:rsidRPr="00CF703E">
        <w:rPr>
          <w:rFonts w:ascii="Times New Roman" w:hAnsi="Times New Roman" w:cs="Times New Roman"/>
          <w:b/>
          <w:sz w:val="24"/>
          <w:szCs w:val="24"/>
        </w:rPr>
        <w:t xml:space="preserve">Advance </w:t>
      </w:r>
      <w:r w:rsidR="00FC1EB6" w:rsidRPr="00CF703E">
        <w:rPr>
          <w:rFonts w:ascii="Times New Roman" w:hAnsi="Times New Roman" w:cs="Times New Roman"/>
          <w:b/>
          <w:sz w:val="24"/>
          <w:szCs w:val="24"/>
        </w:rPr>
        <w:t>International Trade in Goods</w:t>
      </w:r>
    </w:p>
    <w:p w14:paraId="0A0F2D0D" w14:textId="354D1082" w:rsidR="004F731F" w:rsidRDefault="00822DA7" w:rsidP="004F731F">
      <w:pPr>
        <w:spacing w:after="120"/>
        <w:ind w:left="-360"/>
        <w:rPr>
          <w:rFonts w:ascii="Times New Roman" w:eastAsiaTheme="minorEastAsia" w:hAnsi="Times New Roman" w:cs="Times New Roman"/>
          <w:color w:val="000000"/>
          <w:sz w:val="24"/>
          <w:szCs w:val="24"/>
        </w:rPr>
      </w:pPr>
      <w:r w:rsidRPr="00822DA7">
        <w:rPr>
          <w:rFonts w:ascii="Times New Roman" w:eastAsiaTheme="minorEastAsia" w:hAnsi="Times New Roman" w:cs="Times New Roman"/>
          <w:color w:val="000000"/>
          <w:sz w:val="24"/>
          <w:szCs w:val="24"/>
        </w:rPr>
        <w:t>The international trade deficit was $65.3 billion in November, up $3.4 billion from $61.9 billion in October.  Exports of goods for November were $121.7 billion, $1.2 billion less than October exports. Imports of goods for November were $187.0 billion, $2.2 billion more than October imports.</w:t>
      </w:r>
    </w:p>
    <w:p w14:paraId="7568173E" w14:textId="033FFE61" w:rsidR="00F65176" w:rsidRPr="00CF703E" w:rsidRDefault="001A55F3" w:rsidP="004F731F">
      <w:pPr>
        <w:spacing w:after="0"/>
        <w:ind w:left="-360"/>
        <w:rPr>
          <w:rFonts w:ascii="Times New Roman" w:hAnsi="Times New Roman" w:cs="Times New Roman"/>
          <w:sz w:val="24"/>
          <w:szCs w:val="24"/>
        </w:rPr>
      </w:pPr>
      <w:r w:rsidRPr="00CF703E">
        <w:rPr>
          <w:rFonts w:ascii="Times New Roman" w:hAnsi="Times New Roman" w:cs="Times New Roman"/>
          <w:b/>
          <w:sz w:val="24"/>
          <w:szCs w:val="24"/>
        </w:rPr>
        <w:t xml:space="preserve">Advance </w:t>
      </w:r>
      <w:r w:rsidR="00FC1EB6" w:rsidRPr="00CF703E">
        <w:rPr>
          <w:rFonts w:ascii="Times New Roman" w:hAnsi="Times New Roman" w:cs="Times New Roman"/>
          <w:b/>
          <w:sz w:val="24"/>
          <w:szCs w:val="24"/>
        </w:rPr>
        <w:t>Wholesale</w:t>
      </w:r>
      <w:r w:rsidR="007F7753" w:rsidRPr="00CF703E">
        <w:rPr>
          <w:rFonts w:ascii="Times New Roman" w:hAnsi="Times New Roman" w:cs="Times New Roman"/>
          <w:b/>
          <w:sz w:val="24"/>
          <w:szCs w:val="24"/>
        </w:rPr>
        <w:t xml:space="preserve"> Inventories</w:t>
      </w:r>
    </w:p>
    <w:p w14:paraId="559F699A" w14:textId="3A3DC998" w:rsidR="004F731F" w:rsidRPr="00A86EA3" w:rsidRDefault="00822DA7" w:rsidP="00F63A8E">
      <w:pPr>
        <w:spacing w:after="120"/>
        <w:ind w:left="-360"/>
        <w:rPr>
          <w:rFonts w:ascii="Times New Roman" w:hAnsi="Times New Roman" w:cs="Times New Roman"/>
          <w:sz w:val="24"/>
          <w:szCs w:val="24"/>
        </w:rPr>
      </w:pPr>
      <w:r w:rsidRPr="00822DA7">
        <w:rPr>
          <w:rFonts w:ascii="Times New Roman" w:hAnsi="Times New Roman" w:cs="Times New Roman"/>
          <w:sz w:val="24"/>
          <w:szCs w:val="24"/>
        </w:rPr>
        <w:t>Wholesale inventories for November, adjusted for seasonal variations but not for price changes, were estimated at an end-of-month level of $594.5 billion, up 0.9 percent (±0.2 percent) from October 2016, and were up 1.2 percent (±1.1 percent) from November 2015.  The September 2016 to October 2016 percentage change was revised from</w:t>
      </w:r>
      <w:r w:rsidR="00BD63DA">
        <w:rPr>
          <w:rFonts w:ascii="Times New Roman" w:hAnsi="Times New Roman" w:cs="Times New Roman"/>
          <w:sz w:val="24"/>
          <w:szCs w:val="24"/>
        </w:rPr>
        <w:t xml:space="preserve"> down 0.4 percent (</w:t>
      </w:r>
      <w:r w:rsidR="00BD63DA" w:rsidRPr="00822DA7">
        <w:rPr>
          <w:rFonts w:ascii="Times New Roman" w:hAnsi="Times New Roman" w:cs="Times New Roman"/>
          <w:sz w:val="24"/>
          <w:szCs w:val="24"/>
        </w:rPr>
        <w:t>±</w:t>
      </w:r>
      <w:r w:rsidR="00BD63DA">
        <w:rPr>
          <w:rFonts w:ascii="Times New Roman" w:hAnsi="Times New Roman" w:cs="Times New Roman"/>
          <w:sz w:val="24"/>
          <w:szCs w:val="24"/>
        </w:rPr>
        <w:t xml:space="preserve">0.4 percent)* </w:t>
      </w:r>
      <w:r w:rsidRPr="00822DA7">
        <w:rPr>
          <w:rFonts w:ascii="Times New Roman" w:hAnsi="Times New Roman" w:cs="Times New Roman"/>
          <w:sz w:val="24"/>
          <w:szCs w:val="24"/>
        </w:rPr>
        <w:t>to down 0.1 percent (±0.4 percent)*.</w:t>
      </w:r>
      <w:r w:rsidR="000820B7" w:rsidRPr="00A86EA3">
        <w:rPr>
          <w:rFonts w:ascii="Times New Roman" w:hAnsi="Times New Roman" w:cs="Times New Roman"/>
          <w:sz w:val="24"/>
          <w:szCs w:val="24"/>
        </w:rPr>
        <w:t xml:space="preserve"> </w:t>
      </w:r>
    </w:p>
    <w:p w14:paraId="3DBE4A8C" w14:textId="77777777" w:rsidR="00322A2E" w:rsidRDefault="00322A2E" w:rsidP="00322A2E">
      <w:pPr>
        <w:spacing w:after="0"/>
        <w:ind w:left="-360"/>
        <w:rPr>
          <w:rFonts w:ascii="Times New Roman" w:hAnsi="Times New Roman" w:cs="Times New Roman"/>
          <w:b/>
          <w:sz w:val="24"/>
          <w:szCs w:val="24"/>
        </w:rPr>
      </w:pPr>
      <w:r>
        <w:rPr>
          <w:rFonts w:ascii="Times New Roman" w:hAnsi="Times New Roman" w:cs="Times New Roman"/>
          <w:b/>
          <w:sz w:val="24"/>
          <w:szCs w:val="24"/>
        </w:rPr>
        <w:t>Advance Retail Inventories</w:t>
      </w:r>
    </w:p>
    <w:p w14:paraId="69808153" w14:textId="20F04446" w:rsidR="00322A2E" w:rsidRDefault="00822DA7" w:rsidP="00322A2E">
      <w:pPr>
        <w:spacing w:after="120"/>
        <w:ind w:left="-360"/>
        <w:rPr>
          <w:rFonts w:ascii="Times New Roman" w:hAnsi="Times New Roman" w:cs="Times New Roman"/>
          <w:sz w:val="24"/>
          <w:szCs w:val="24"/>
        </w:rPr>
      </w:pPr>
      <w:r w:rsidRPr="00822DA7">
        <w:rPr>
          <w:rFonts w:ascii="Times New Roman" w:hAnsi="Times New Roman" w:cs="Times New Roman"/>
          <w:sz w:val="24"/>
          <w:szCs w:val="24"/>
        </w:rPr>
        <w:t>Retail inventories for November, adjusted for seasonal variations but not for price changes, were estimated at an end-of-month level of $609.6 billion, up 1.0 percent (±0.2 percent) from October 2016, and were up 4.1 percent (±0.5 percent) from November 2015.  The September 2016 to October 2016 perce</w:t>
      </w:r>
      <w:r w:rsidR="00C844C8">
        <w:rPr>
          <w:rFonts w:ascii="Times New Roman" w:hAnsi="Times New Roman" w:cs="Times New Roman"/>
          <w:sz w:val="24"/>
          <w:szCs w:val="24"/>
        </w:rPr>
        <w:t xml:space="preserve">ntage change was unrevised at </w:t>
      </w:r>
      <w:r w:rsidRPr="00822DA7">
        <w:rPr>
          <w:rFonts w:ascii="Times New Roman" w:hAnsi="Times New Roman" w:cs="Times New Roman"/>
          <w:sz w:val="24"/>
          <w:szCs w:val="24"/>
        </w:rPr>
        <w:t>down 0.4 percent (±0.2 percent)</w:t>
      </w:r>
      <w:r>
        <w:t>.</w:t>
      </w:r>
    </w:p>
    <w:p w14:paraId="315CEF30" w14:textId="7B2E4DEA" w:rsidR="00E94358" w:rsidRDefault="004F4048" w:rsidP="00E94358">
      <w:pPr>
        <w:spacing w:after="120"/>
        <w:ind w:left="-360"/>
        <w:rPr>
          <w:rFonts w:ascii="Times New Roman" w:hAnsi="Times New Roman" w:cs="Times New Roman"/>
          <w:sz w:val="24"/>
          <w:szCs w:val="24"/>
        </w:rPr>
      </w:pPr>
      <w:r>
        <w:rPr>
          <w:rFonts w:ascii="Times New Roman" w:hAnsi="Times New Roman" w:cs="Times New Roman"/>
          <w:sz w:val="24"/>
          <w:szCs w:val="24"/>
        </w:rPr>
        <w:t xml:space="preserve">The </w:t>
      </w:r>
      <w:r w:rsidR="00822DA7" w:rsidRPr="00822DA7">
        <w:rPr>
          <w:rFonts w:ascii="Times New Roman" w:hAnsi="Times New Roman" w:cs="Times New Roman"/>
          <w:sz w:val="24"/>
          <w:szCs w:val="24"/>
        </w:rPr>
        <w:t>December 2016</w:t>
      </w:r>
      <w:r w:rsidR="00B4177E">
        <w:rPr>
          <w:rFonts w:ascii="Arial" w:eastAsiaTheme="minorEastAsia" w:hAnsi="Arial" w:cs="Arial"/>
          <w:b/>
          <w:color w:val="000000"/>
          <w:sz w:val="16"/>
          <w:szCs w:val="16"/>
        </w:rPr>
        <w:t xml:space="preserve"> </w:t>
      </w:r>
      <w:r>
        <w:rPr>
          <w:rFonts w:ascii="Times New Roman" w:hAnsi="Times New Roman" w:cs="Times New Roman"/>
          <w:sz w:val="24"/>
          <w:szCs w:val="24"/>
        </w:rPr>
        <w:t xml:space="preserve">Advance report is </w:t>
      </w:r>
      <w:r w:rsidR="00501A4F">
        <w:rPr>
          <w:rFonts w:ascii="Times New Roman" w:hAnsi="Times New Roman" w:cs="Times New Roman"/>
          <w:sz w:val="24"/>
          <w:szCs w:val="24"/>
        </w:rPr>
        <w:t>scheduled</w:t>
      </w:r>
      <w:r w:rsidR="00F63A8E">
        <w:rPr>
          <w:rFonts w:ascii="Times New Roman" w:hAnsi="Times New Roman" w:cs="Times New Roman"/>
          <w:sz w:val="24"/>
          <w:szCs w:val="24"/>
        </w:rPr>
        <w:t xml:space="preserve"> for </w:t>
      </w:r>
      <w:r w:rsidR="00501A4F">
        <w:rPr>
          <w:rFonts w:ascii="Times New Roman" w:hAnsi="Times New Roman" w:cs="Times New Roman"/>
          <w:sz w:val="24"/>
          <w:szCs w:val="24"/>
        </w:rPr>
        <w:t>rele</w:t>
      </w:r>
      <w:r w:rsidR="00F63A8E">
        <w:rPr>
          <w:rFonts w:ascii="Times New Roman" w:hAnsi="Times New Roman" w:cs="Times New Roman"/>
          <w:sz w:val="24"/>
          <w:szCs w:val="24"/>
        </w:rPr>
        <w:t>ase</w:t>
      </w:r>
      <w:r w:rsidR="00501A4F">
        <w:rPr>
          <w:rFonts w:ascii="Times New Roman" w:hAnsi="Times New Roman" w:cs="Times New Roman"/>
          <w:sz w:val="24"/>
          <w:szCs w:val="24"/>
        </w:rPr>
        <w:t xml:space="preserve"> on</w:t>
      </w:r>
      <w:r w:rsidR="00C352D6">
        <w:rPr>
          <w:rFonts w:ascii="Times New Roman" w:hAnsi="Times New Roman" w:cs="Times New Roman"/>
          <w:sz w:val="24"/>
          <w:szCs w:val="24"/>
        </w:rPr>
        <w:t xml:space="preserve"> </w:t>
      </w:r>
      <w:r w:rsidR="00822DA7" w:rsidRPr="00822DA7">
        <w:rPr>
          <w:rFonts w:ascii="Times New Roman" w:hAnsi="Times New Roman" w:cs="Times New Roman"/>
          <w:sz w:val="24"/>
          <w:szCs w:val="24"/>
        </w:rPr>
        <w:t>January 26, 2017</w:t>
      </w:r>
      <w:r w:rsidR="00C352D6" w:rsidRPr="00BB7CC6">
        <w:rPr>
          <w:rFonts w:ascii="Times New Roman" w:hAnsi="Times New Roman" w:cs="Times New Roman"/>
          <w:sz w:val="24"/>
          <w:szCs w:val="24"/>
        </w:rPr>
        <w:t xml:space="preserve">. View the full schedule in the Economic Briefing Room: </w:t>
      </w:r>
      <w:r w:rsidR="00C352D6" w:rsidRPr="009D70CB">
        <w:rPr>
          <w:rFonts w:ascii="Times New Roman" w:hAnsi="Times New Roman" w:cs="Times New Roman"/>
          <w:sz w:val="24"/>
          <w:szCs w:val="24"/>
        </w:rPr>
        <w:t>&lt;</w:t>
      </w:r>
      <w:hyperlink r:id="rId21" w:history="1">
        <w:r w:rsidR="00C352D6" w:rsidRPr="00C352D6">
          <w:rPr>
            <w:rStyle w:val="Hyperlink"/>
            <w:rFonts w:ascii="Times New Roman" w:hAnsi="Times New Roman" w:cs="Times New Roman"/>
            <w:sz w:val="24"/>
            <w:szCs w:val="24"/>
          </w:rPr>
          <w:t>www.census.gov/economic-indicators/</w:t>
        </w:r>
      </w:hyperlink>
      <w:r w:rsidR="00C352D6" w:rsidRPr="009D70CB">
        <w:rPr>
          <w:rFonts w:ascii="Times New Roman" w:hAnsi="Times New Roman" w:cs="Times New Roman"/>
          <w:sz w:val="24"/>
          <w:szCs w:val="24"/>
        </w:rPr>
        <w:t>&gt;</w:t>
      </w:r>
      <w:r w:rsidR="00C352D6" w:rsidRPr="00C352D6">
        <w:rPr>
          <w:rFonts w:ascii="Times New Roman" w:hAnsi="Times New Roman" w:cs="Times New Roman"/>
          <w:sz w:val="24"/>
          <w:szCs w:val="24"/>
        </w:rPr>
        <w:t>.</w:t>
      </w:r>
    </w:p>
    <w:p w14:paraId="75F39696" w14:textId="5550C925" w:rsidR="005225BA" w:rsidRPr="00E94358" w:rsidRDefault="00686D99" w:rsidP="00E94358">
      <w:pPr>
        <w:keepNext/>
        <w:spacing w:after="120"/>
        <w:ind w:left="-360"/>
        <w:rPr>
          <w:rFonts w:ascii="Times New Roman" w:hAnsi="Times New Roman" w:cs="Times New Roman"/>
          <w:sz w:val="24"/>
          <w:szCs w:val="24"/>
        </w:rPr>
      </w:pPr>
      <w:r w:rsidRPr="00686D99">
        <w:rPr>
          <w:rFonts w:ascii="Arial" w:hAnsi="Arial" w:cs="Arial"/>
          <w:b/>
          <w:bCs/>
          <w:iCs/>
          <w:sz w:val="24"/>
          <w:szCs w:val="24"/>
        </w:rPr>
        <w:lastRenderedPageBreak/>
        <w:t>EXPLANATORY NOTES</w:t>
      </w:r>
    </w:p>
    <w:p w14:paraId="1232471B" w14:textId="77777777" w:rsidR="008E498C" w:rsidRPr="00686D99" w:rsidRDefault="008E498C" w:rsidP="00E94358">
      <w:pPr>
        <w:keepNext/>
        <w:keepLines/>
        <w:spacing w:after="120"/>
        <w:ind w:left="-360"/>
        <w:rPr>
          <w:rFonts w:ascii="Times New Roman" w:hAnsi="Times New Roman" w:cs="Times New Roman"/>
          <w:b/>
          <w:bCs/>
          <w:iCs/>
          <w:sz w:val="24"/>
          <w:szCs w:val="24"/>
          <w:u w:val="single"/>
        </w:rPr>
      </w:pPr>
      <w:r w:rsidRPr="00686D99">
        <w:rPr>
          <w:rFonts w:ascii="Times New Roman" w:hAnsi="Times New Roman" w:cs="Times New Roman"/>
          <w:b/>
          <w:bCs/>
          <w:iCs/>
          <w:sz w:val="24"/>
          <w:szCs w:val="24"/>
          <w:u w:val="single"/>
        </w:rPr>
        <w:t>International Trade in Goods</w:t>
      </w:r>
    </w:p>
    <w:p w14:paraId="39FA0F07" w14:textId="2DDE9D51" w:rsidR="005225BA" w:rsidRPr="008E498C" w:rsidRDefault="005225BA" w:rsidP="00E94358">
      <w:pPr>
        <w:keepNext/>
        <w:keepLines/>
        <w:spacing w:after="0"/>
        <w:ind w:left="-360"/>
        <w:rPr>
          <w:rFonts w:ascii="Times New Roman" w:hAnsi="Times New Roman" w:cs="Times New Roman"/>
          <w:b/>
          <w:sz w:val="24"/>
          <w:szCs w:val="24"/>
        </w:rPr>
      </w:pPr>
      <w:r w:rsidRPr="008E498C">
        <w:rPr>
          <w:rFonts w:ascii="Times New Roman" w:hAnsi="Times New Roman" w:cs="Times New Roman"/>
          <w:b/>
          <w:sz w:val="24"/>
          <w:szCs w:val="24"/>
        </w:rPr>
        <w:t>Goods (Census Basis)</w:t>
      </w:r>
    </w:p>
    <w:p w14:paraId="491F503E" w14:textId="77777777" w:rsidR="005225BA" w:rsidRPr="005225BA" w:rsidRDefault="005225BA" w:rsidP="00882EBC">
      <w:pPr>
        <w:spacing w:after="120"/>
        <w:ind w:left="-360"/>
        <w:rPr>
          <w:rFonts w:ascii="Times New Roman" w:hAnsi="Times New Roman" w:cs="Times New Roman"/>
          <w:sz w:val="24"/>
          <w:szCs w:val="24"/>
        </w:rPr>
      </w:pPr>
      <w:r w:rsidRPr="008E498C">
        <w:rPr>
          <w:rFonts w:ascii="Times New Roman" w:hAnsi="Times New Roman" w:cs="Times New Roman"/>
          <w:sz w:val="24"/>
          <w:szCs w:val="24"/>
        </w:rPr>
        <w:t>Data for</w:t>
      </w:r>
      <w:r w:rsidRPr="005225BA">
        <w:rPr>
          <w:rFonts w:ascii="Times New Roman" w:hAnsi="Times New Roman" w:cs="Times New Roman"/>
          <w:sz w:val="24"/>
          <w:szCs w:val="24"/>
        </w:rPr>
        <w:t xml:space="preserve"> goods on a Census basis are compiled from the documents collected by the U.S. Customs and Border Protection and reflect the movement of goods between foreign countries and the 50 states, the District of Columbia, Puerto Rico, the U.S. Virgin Islands, and U.S. Foreign Trade Zones. They include government and non-government shipments of goods and exclude shipments between the United States and its territories and possessions; transactions with U.S. military, diplomatic, and consular installations abroad; U.S. goods returned to the United States by its Armed Forces; personal and household effects of travelers; and in-transit shipments. Data for U.S. exports to Canada are derived from import data compiled by Canada. For more information on the data exchange and substitution please refer to the FT-900. The General Imports value reflects the total arrival of merchandise from foreign countries that immediately enters consumption channels, warehouses, or Foreign Trade Zones.</w:t>
      </w:r>
    </w:p>
    <w:p w14:paraId="5156260D" w14:textId="77777777" w:rsidR="005225BA" w:rsidRPr="005225BA" w:rsidRDefault="005225BA" w:rsidP="005225BA">
      <w:pPr>
        <w:spacing w:after="120"/>
        <w:ind w:left="-360"/>
        <w:rPr>
          <w:rFonts w:ascii="Times New Roman" w:hAnsi="Times New Roman" w:cs="Times New Roman"/>
          <w:sz w:val="24"/>
          <w:szCs w:val="24"/>
        </w:rPr>
      </w:pPr>
      <w:r w:rsidRPr="005225BA">
        <w:rPr>
          <w:rFonts w:ascii="Times New Roman" w:hAnsi="Times New Roman" w:cs="Times New Roman"/>
          <w:sz w:val="24"/>
          <w:szCs w:val="24"/>
        </w:rPr>
        <w:t xml:space="preserve">For imports, the value reported is the U.S. Customs and Border Protection appraised value of merchandise—generally, the price paid for merchandise for export to the United States. Import duties, freight, insurance, and other charges incurred in bringing merchandise to the United States are excluded.  </w:t>
      </w:r>
    </w:p>
    <w:p w14:paraId="70FE9E28" w14:textId="46C979AC" w:rsidR="005225BA" w:rsidRPr="005225BA" w:rsidRDefault="005225BA" w:rsidP="005225BA">
      <w:pPr>
        <w:spacing w:after="120"/>
        <w:ind w:left="-360"/>
        <w:rPr>
          <w:rFonts w:ascii="Times New Roman" w:hAnsi="Times New Roman" w:cs="Times New Roman"/>
          <w:sz w:val="24"/>
          <w:szCs w:val="24"/>
        </w:rPr>
      </w:pPr>
      <w:r w:rsidRPr="005225BA">
        <w:rPr>
          <w:rFonts w:ascii="Times New Roman" w:hAnsi="Times New Roman" w:cs="Times New Roman"/>
          <w:sz w:val="24"/>
          <w:szCs w:val="24"/>
        </w:rPr>
        <w:t>Ex</w:t>
      </w:r>
      <w:r w:rsidR="00987FD1">
        <w:rPr>
          <w:rFonts w:ascii="Times New Roman" w:hAnsi="Times New Roman" w:cs="Times New Roman"/>
          <w:sz w:val="24"/>
          <w:szCs w:val="24"/>
        </w:rPr>
        <w:t>ports are valued at the free alongside ship</w:t>
      </w:r>
      <w:r w:rsidRPr="005225BA">
        <w:rPr>
          <w:rFonts w:ascii="Times New Roman" w:hAnsi="Times New Roman" w:cs="Times New Roman"/>
          <w:sz w:val="24"/>
          <w:szCs w:val="24"/>
        </w:rPr>
        <w:t xml:space="preserve"> value of merchandise at the U.S. port of export, based on the transaction price including inland freight, insurance, and other charges incurred in placing the merchandise alongside the carrier at the U.S. port of exportation.</w:t>
      </w:r>
    </w:p>
    <w:p w14:paraId="730651C6" w14:textId="5BEB7165" w:rsidR="005225BA" w:rsidRPr="005225BA" w:rsidRDefault="005225BA" w:rsidP="005225BA">
      <w:pPr>
        <w:spacing w:after="120"/>
        <w:ind w:left="-360"/>
        <w:rPr>
          <w:rFonts w:ascii="Times New Roman" w:hAnsi="Times New Roman" w:cs="Times New Roman"/>
          <w:sz w:val="24"/>
          <w:szCs w:val="24"/>
        </w:rPr>
      </w:pPr>
      <w:r w:rsidRPr="005225BA">
        <w:rPr>
          <w:rFonts w:ascii="Times New Roman" w:hAnsi="Times New Roman" w:cs="Times New Roman"/>
          <w:sz w:val="24"/>
          <w:szCs w:val="24"/>
        </w:rPr>
        <w:t xml:space="preserve">Additional information on coverage and valuation are available in the Guide to Foreign Trade Statistics, </w:t>
      </w:r>
      <w:hyperlink r:id="rId22" w:anchor="coverage" w:history="1">
        <w:r w:rsidR="00677828" w:rsidRPr="009D70CB">
          <w:rPr>
            <w:rStyle w:val="Hyperlink"/>
            <w:rFonts w:ascii="Times New Roman" w:hAnsi="Times New Roman" w:cs="Times New Roman"/>
            <w:color w:val="auto"/>
            <w:sz w:val="24"/>
            <w:szCs w:val="24"/>
            <w:u w:val="none"/>
          </w:rPr>
          <w:t>&lt;</w:t>
        </w:r>
        <w:r w:rsidRPr="005225BA">
          <w:rPr>
            <w:rStyle w:val="Hyperlink"/>
            <w:rFonts w:ascii="Times New Roman" w:hAnsi="Times New Roman" w:cs="Times New Roman"/>
            <w:sz w:val="24"/>
            <w:szCs w:val="24"/>
          </w:rPr>
          <w:t>www.census.gov/foreign-trade/guide/sec2.html#coverage</w:t>
        </w:r>
      </w:hyperlink>
      <w:r w:rsidR="00677828" w:rsidRPr="009D70CB">
        <w:rPr>
          <w:rStyle w:val="Hyperlink"/>
          <w:rFonts w:ascii="Times New Roman" w:hAnsi="Times New Roman" w:cs="Times New Roman"/>
          <w:color w:val="auto"/>
          <w:sz w:val="24"/>
          <w:szCs w:val="24"/>
          <w:u w:val="none"/>
        </w:rPr>
        <w:t>&gt;</w:t>
      </w:r>
      <w:r w:rsidRPr="005225BA">
        <w:rPr>
          <w:rFonts w:ascii="Times New Roman" w:hAnsi="Times New Roman" w:cs="Times New Roman"/>
          <w:sz w:val="24"/>
          <w:szCs w:val="24"/>
        </w:rPr>
        <w:t xml:space="preserve"> and </w:t>
      </w:r>
      <w:hyperlink r:id="rId23" w:anchor="valuation" w:history="1">
        <w:r w:rsidR="00677828" w:rsidRPr="009D70CB">
          <w:rPr>
            <w:rStyle w:val="Hyperlink"/>
            <w:rFonts w:ascii="Times New Roman" w:hAnsi="Times New Roman" w:cs="Times New Roman"/>
            <w:color w:val="auto"/>
            <w:sz w:val="24"/>
            <w:szCs w:val="24"/>
            <w:u w:val="none"/>
          </w:rPr>
          <w:t>&lt;</w:t>
        </w:r>
        <w:r w:rsidRPr="005225BA">
          <w:rPr>
            <w:rStyle w:val="Hyperlink"/>
            <w:rFonts w:ascii="Times New Roman" w:hAnsi="Times New Roman" w:cs="Times New Roman"/>
            <w:sz w:val="24"/>
            <w:szCs w:val="24"/>
          </w:rPr>
          <w:t>www.census.gov/foreign-trade/guide/sec2.html#valuation</w:t>
        </w:r>
      </w:hyperlink>
      <w:r w:rsidR="00677828" w:rsidRPr="009D70CB">
        <w:rPr>
          <w:rStyle w:val="Hyperlink"/>
          <w:rFonts w:ascii="Times New Roman" w:hAnsi="Times New Roman" w:cs="Times New Roman"/>
          <w:color w:val="auto"/>
          <w:sz w:val="24"/>
          <w:szCs w:val="24"/>
          <w:u w:val="none"/>
        </w:rPr>
        <w:t>&gt;</w:t>
      </w:r>
      <w:r w:rsidRPr="005225BA">
        <w:rPr>
          <w:rFonts w:ascii="Times New Roman" w:hAnsi="Times New Roman" w:cs="Times New Roman"/>
          <w:sz w:val="24"/>
          <w:szCs w:val="24"/>
        </w:rPr>
        <w:t xml:space="preserve">, respectively. </w:t>
      </w:r>
    </w:p>
    <w:p w14:paraId="547C12B0" w14:textId="77777777" w:rsidR="005225BA" w:rsidRPr="004C1EEB" w:rsidRDefault="005225BA" w:rsidP="004C1EEB">
      <w:pPr>
        <w:spacing w:after="0"/>
        <w:ind w:left="-360"/>
        <w:rPr>
          <w:rFonts w:ascii="Times New Roman" w:hAnsi="Times New Roman" w:cs="Times New Roman"/>
          <w:b/>
          <w:sz w:val="24"/>
          <w:szCs w:val="24"/>
        </w:rPr>
      </w:pPr>
      <w:r w:rsidRPr="004C1EEB">
        <w:rPr>
          <w:rFonts w:ascii="Times New Roman" w:hAnsi="Times New Roman" w:cs="Times New Roman"/>
          <w:b/>
          <w:sz w:val="24"/>
          <w:szCs w:val="24"/>
        </w:rPr>
        <w:t>Non Sampling Errors</w:t>
      </w:r>
    </w:p>
    <w:p w14:paraId="36E5CA39" w14:textId="7E78FC75" w:rsidR="005225BA" w:rsidRPr="005225BA" w:rsidRDefault="005225BA" w:rsidP="00112D0A">
      <w:pPr>
        <w:spacing w:after="120"/>
        <w:ind w:left="-360"/>
        <w:rPr>
          <w:rFonts w:ascii="Times New Roman" w:hAnsi="Times New Roman" w:cs="Times New Roman"/>
          <w:sz w:val="24"/>
          <w:szCs w:val="24"/>
        </w:rPr>
      </w:pPr>
      <w:r w:rsidRPr="004C1EEB">
        <w:rPr>
          <w:rFonts w:ascii="Times New Roman" w:hAnsi="Times New Roman" w:cs="Times New Roman"/>
          <w:sz w:val="24"/>
          <w:szCs w:val="24"/>
        </w:rPr>
        <w:t>Goods data</w:t>
      </w:r>
      <w:r w:rsidRPr="005225BA">
        <w:rPr>
          <w:rFonts w:ascii="Times New Roman" w:hAnsi="Times New Roman" w:cs="Times New Roman"/>
          <w:sz w:val="24"/>
          <w:szCs w:val="24"/>
        </w:rPr>
        <w:t xml:space="preserve"> are a complete enumeration of documents collected by the U.S. Customs and Border Protection and are not subject to sampling errors.</w:t>
      </w:r>
      <w:r w:rsidR="00D51E56" w:rsidRPr="00D51E56">
        <w:t xml:space="preserve"> </w:t>
      </w:r>
      <w:r w:rsidR="00927508" w:rsidRPr="00927508">
        <w:rPr>
          <w:rFonts w:ascii="Times New Roman" w:hAnsi="Times New Roman" w:cs="Times New Roman"/>
          <w:sz w:val="24"/>
          <w:szCs w:val="24"/>
        </w:rPr>
        <w:t xml:space="preserve">This report presents </w:t>
      </w:r>
      <w:r w:rsidR="003F6CAB">
        <w:rPr>
          <w:rFonts w:ascii="Times New Roman" w:hAnsi="Times New Roman" w:cs="Times New Roman"/>
          <w:sz w:val="24"/>
          <w:szCs w:val="24"/>
        </w:rPr>
        <w:t>c</w:t>
      </w:r>
      <w:r w:rsidR="003F6CAB" w:rsidRPr="003F6CAB">
        <w:rPr>
          <w:rFonts w:ascii="Times New Roman" w:hAnsi="Times New Roman" w:cs="Times New Roman"/>
          <w:sz w:val="24"/>
          <w:szCs w:val="24"/>
        </w:rPr>
        <w:t xml:space="preserve">urrent month statistics </w:t>
      </w:r>
      <w:r w:rsidR="003F6CAB">
        <w:rPr>
          <w:rFonts w:ascii="Times New Roman" w:hAnsi="Times New Roman" w:cs="Times New Roman"/>
          <w:sz w:val="24"/>
          <w:szCs w:val="24"/>
        </w:rPr>
        <w:t xml:space="preserve">which </w:t>
      </w:r>
      <w:r w:rsidR="003F6CAB" w:rsidRPr="003F6CAB">
        <w:rPr>
          <w:rFonts w:ascii="Times New Roman" w:hAnsi="Times New Roman" w:cs="Times New Roman"/>
          <w:sz w:val="24"/>
          <w:szCs w:val="24"/>
        </w:rPr>
        <w:t>re</w:t>
      </w:r>
      <w:r w:rsidR="003F6CAB">
        <w:rPr>
          <w:rFonts w:ascii="Times New Roman" w:hAnsi="Times New Roman" w:cs="Times New Roman"/>
          <w:sz w:val="24"/>
          <w:szCs w:val="24"/>
        </w:rPr>
        <w:t>flect nearly complete coverage. C</w:t>
      </w:r>
      <w:r w:rsidR="003F6CAB" w:rsidRPr="003F6CAB">
        <w:rPr>
          <w:rFonts w:ascii="Times New Roman" w:hAnsi="Times New Roman" w:cs="Times New Roman"/>
          <w:sz w:val="24"/>
          <w:szCs w:val="24"/>
        </w:rPr>
        <w:t>urrent month statistics reflecting complete coverage will be published in the upcoming U.S.</w:t>
      </w:r>
      <w:r w:rsidR="003F6CAB">
        <w:rPr>
          <w:rFonts w:ascii="Times New Roman" w:hAnsi="Times New Roman" w:cs="Times New Roman"/>
          <w:sz w:val="24"/>
          <w:szCs w:val="24"/>
        </w:rPr>
        <w:t xml:space="preserve"> </w:t>
      </w:r>
      <w:r w:rsidR="003F6CAB" w:rsidRPr="003F6CAB">
        <w:rPr>
          <w:rFonts w:ascii="Times New Roman" w:hAnsi="Times New Roman" w:cs="Times New Roman"/>
          <w:sz w:val="24"/>
          <w:szCs w:val="24"/>
        </w:rPr>
        <w:t>International Trade in Goods and Services report (FT-900). Statistics for other months shown reflect complete coverage and appear in the most recently</w:t>
      </w:r>
      <w:r w:rsidR="003F6CAB">
        <w:rPr>
          <w:rFonts w:ascii="Times New Roman" w:hAnsi="Times New Roman" w:cs="Times New Roman"/>
          <w:sz w:val="24"/>
          <w:szCs w:val="24"/>
        </w:rPr>
        <w:t xml:space="preserve"> </w:t>
      </w:r>
      <w:r w:rsidR="003F6CAB" w:rsidRPr="003F6CAB">
        <w:rPr>
          <w:rFonts w:ascii="Times New Roman" w:hAnsi="Times New Roman" w:cs="Times New Roman"/>
          <w:sz w:val="24"/>
          <w:szCs w:val="24"/>
        </w:rPr>
        <w:t>published FT-900.</w:t>
      </w:r>
      <w:r w:rsidRPr="005225BA">
        <w:rPr>
          <w:rFonts w:ascii="Times New Roman" w:hAnsi="Times New Roman" w:cs="Times New Roman"/>
          <w:sz w:val="24"/>
          <w:szCs w:val="24"/>
        </w:rPr>
        <w:t xml:space="preserve">  Quality assurance procedures are performed at every stage of collection, processing, and tabulation.  However, the data are still subject to several types of nonsampling errors.  Information on nonsampling errors and other quality iss</w:t>
      </w:r>
      <w:r w:rsidR="00025B48">
        <w:rPr>
          <w:rFonts w:ascii="Times New Roman" w:hAnsi="Times New Roman" w:cs="Times New Roman"/>
          <w:sz w:val="24"/>
          <w:szCs w:val="24"/>
        </w:rPr>
        <w:t>ues are available in the Guide to Foreign Trade S</w:t>
      </w:r>
      <w:r w:rsidRPr="005225BA">
        <w:rPr>
          <w:rFonts w:ascii="Times New Roman" w:hAnsi="Times New Roman" w:cs="Times New Roman"/>
          <w:sz w:val="24"/>
          <w:szCs w:val="24"/>
        </w:rPr>
        <w:t xml:space="preserve">tatistics, </w:t>
      </w:r>
      <w:r w:rsidR="00677828" w:rsidRPr="00286A5C">
        <w:rPr>
          <w:rFonts w:ascii="Times New Roman" w:hAnsi="Times New Roman" w:cs="Times New Roman"/>
          <w:sz w:val="24"/>
          <w:szCs w:val="24"/>
        </w:rPr>
        <w:t>&lt;</w:t>
      </w:r>
      <w:hyperlink r:id="rId24" w:history="1">
        <w:r w:rsidRPr="00286A5C">
          <w:rPr>
            <w:rStyle w:val="Hyperlink"/>
            <w:rFonts w:ascii="Times New Roman" w:hAnsi="Times New Roman" w:cs="Times New Roman"/>
            <w:sz w:val="24"/>
            <w:szCs w:val="24"/>
          </w:rPr>
          <w:t>www.census.gov/foreign-trade/guide/sec2</w:t>
        </w:r>
        <w:r w:rsidR="00286A5C" w:rsidRPr="00286A5C">
          <w:rPr>
            <w:rStyle w:val="Hyperlink"/>
            <w:rFonts w:ascii="Times New Roman" w:hAnsi="Times New Roman" w:cs="Times New Roman"/>
            <w:sz w:val="24"/>
            <w:szCs w:val="24"/>
          </w:rPr>
          <w:t>.html</w:t>
        </w:r>
      </w:hyperlink>
      <w:r w:rsidR="00677828" w:rsidRPr="009D70CB">
        <w:rPr>
          <w:rStyle w:val="Hyperlink"/>
          <w:rFonts w:ascii="Times New Roman" w:hAnsi="Times New Roman" w:cs="Times New Roman"/>
          <w:color w:val="auto"/>
          <w:sz w:val="24"/>
          <w:szCs w:val="24"/>
          <w:u w:val="none"/>
        </w:rPr>
        <w:t>&gt;</w:t>
      </w:r>
      <w:r w:rsidRPr="005225BA">
        <w:rPr>
          <w:rFonts w:ascii="Times New Roman" w:hAnsi="Times New Roman" w:cs="Times New Roman"/>
          <w:sz w:val="24"/>
          <w:szCs w:val="24"/>
        </w:rPr>
        <w:t xml:space="preserve">. </w:t>
      </w:r>
    </w:p>
    <w:p w14:paraId="288BAFD8" w14:textId="679E0AFC" w:rsidR="005225BA" w:rsidRPr="005225BA" w:rsidRDefault="005225BA" w:rsidP="005225BA">
      <w:pPr>
        <w:spacing w:after="120"/>
        <w:ind w:left="-360"/>
        <w:rPr>
          <w:rFonts w:ascii="Times New Roman" w:hAnsi="Times New Roman" w:cs="Times New Roman"/>
          <w:sz w:val="24"/>
          <w:szCs w:val="24"/>
        </w:rPr>
      </w:pPr>
      <w:r w:rsidRPr="005225BA">
        <w:rPr>
          <w:rFonts w:ascii="Times New Roman" w:hAnsi="Times New Roman" w:cs="Times New Roman"/>
          <w:sz w:val="24"/>
          <w:szCs w:val="24"/>
        </w:rPr>
        <w:t>The U.S. Census Bureau recommends that data users incorporate this information into their analyses, as nonsampling errors could impact the conclusion drawn from the results. For a detailed discussion of errors</w:t>
      </w:r>
      <w:r w:rsidR="008D0148">
        <w:rPr>
          <w:rFonts w:ascii="Times New Roman" w:hAnsi="Times New Roman" w:cs="Times New Roman"/>
          <w:sz w:val="24"/>
          <w:szCs w:val="24"/>
        </w:rPr>
        <w:t xml:space="preserve"> affecting the goods data, see </w:t>
      </w:r>
      <w:r w:rsidRPr="005225BA">
        <w:rPr>
          <w:rFonts w:ascii="Times New Roman" w:hAnsi="Times New Roman" w:cs="Times New Roman"/>
          <w:sz w:val="24"/>
          <w:szCs w:val="24"/>
        </w:rPr>
        <w:t>U.S. Merchandise Trade</w:t>
      </w:r>
      <w:r w:rsidR="008D0148">
        <w:rPr>
          <w:rFonts w:ascii="Times New Roman" w:hAnsi="Times New Roman" w:cs="Times New Roman"/>
          <w:sz w:val="24"/>
          <w:szCs w:val="24"/>
        </w:rPr>
        <w:t xml:space="preserve"> Statistics: A Quality Profile (October 2014),</w:t>
      </w:r>
      <w:r w:rsidRPr="005225BA">
        <w:rPr>
          <w:rFonts w:ascii="Times New Roman" w:hAnsi="Times New Roman" w:cs="Times New Roman"/>
          <w:sz w:val="24"/>
          <w:szCs w:val="24"/>
        </w:rPr>
        <w:t xml:space="preserve"> available at </w:t>
      </w:r>
      <w:hyperlink w:history="1">
        <w:r w:rsidR="00677828" w:rsidRPr="009D70CB">
          <w:rPr>
            <w:rStyle w:val="Hyperlink"/>
            <w:rFonts w:ascii="Times New Roman" w:hAnsi="Times New Roman" w:cs="Times New Roman"/>
            <w:color w:val="auto"/>
            <w:sz w:val="24"/>
            <w:szCs w:val="24"/>
            <w:u w:val="none"/>
          </w:rPr>
          <w:t>&lt;</w:t>
        </w:r>
        <w:r w:rsidR="00677828" w:rsidRPr="008F67D9">
          <w:rPr>
            <w:rStyle w:val="Hyperlink"/>
            <w:rFonts w:ascii="Times New Roman" w:hAnsi="Times New Roman" w:cs="Times New Roman"/>
            <w:sz w:val="24"/>
            <w:szCs w:val="24"/>
          </w:rPr>
          <w:t>www.census.gov/foreign-trade/aip/quality_profile10032014.pdf</w:t>
        </w:r>
      </w:hyperlink>
      <w:r w:rsidR="00677828" w:rsidRPr="009D70CB">
        <w:rPr>
          <w:rStyle w:val="Hyperlink"/>
          <w:rFonts w:ascii="Times New Roman" w:hAnsi="Times New Roman" w:cs="Times New Roman"/>
          <w:color w:val="auto"/>
          <w:sz w:val="24"/>
          <w:szCs w:val="24"/>
          <w:u w:val="none"/>
        </w:rPr>
        <w:t>&gt;</w:t>
      </w:r>
      <w:r w:rsidRPr="005225BA">
        <w:rPr>
          <w:rFonts w:ascii="Times New Roman" w:hAnsi="Times New Roman" w:cs="Times New Roman"/>
          <w:sz w:val="24"/>
          <w:szCs w:val="24"/>
        </w:rPr>
        <w:t xml:space="preserve"> or from the Economic Indicators Division, U.S. Census Bureau. </w:t>
      </w:r>
    </w:p>
    <w:p w14:paraId="11E5C1B8" w14:textId="77777777" w:rsidR="005225BA" w:rsidRPr="004C1EEB" w:rsidRDefault="005225BA" w:rsidP="004C1EEB">
      <w:pPr>
        <w:spacing w:after="0"/>
        <w:ind w:left="-360"/>
        <w:rPr>
          <w:rFonts w:ascii="Times New Roman" w:hAnsi="Times New Roman" w:cs="Times New Roman"/>
          <w:b/>
          <w:sz w:val="24"/>
          <w:szCs w:val="24"/>
        </w:rPr>
      </w:pPr>
      <w:r w:rsidRPr="004C1EEB">
        <w:rPr>
          <w:rFonts w:ascii="Times New Roman" w:hAnsi="Times New Roman" w:cs="Times New Roman"/>
          <w:b/>
          <w:sz w:val="24"/>
          <w:szCs w:val="24"/>
        </w:rPr>
        <w:t>Adjustments for Seasonal and Trading-Day Variations</w:t>
      </w:r>
    </w:p>
    <w:p w14:paraId="364577ED" w14:textId="25F54873" w:rsidR="005225BA" w:rsidRPr="005225BA" w:rsidRDefault="005225BA" w:rsidP="00AF6537">
      <w:pPr>
        <w:spacing w:after="0"/>
        <w:ind w:left="-360"/>
        <w:rPr>
          <w:rFonts w:ascii="Times New Roman" w:hAnsi="Times New Roman" w:cs="Times New Roman"/>
          <w:sz w:val="24"/>
          <w:szCs w:val="24"/>
        </w:rPr>
      </w:pPr>
      <w:r w:rsidRPr="004C1EEB">
        <w:rPr>
          <w:rFonts w:ascii="Times New Roman" w:hAnsi="Times New Roman" w:cs="Times New Roman"/>
          <w:sz w:val="24"/>
          <w:szCs w:val="24"/>
        </w:rPr>
        <w:t>Goods</w:t>
      </w:r>
      <w:r w:rsidRPr="005225BA">
        <w:rPr>
          <w:rFonts w:ascii="Times New Roman" w:hAnsi="Times New Roman" w:cs="Times New Roman"/>
          <w:sz w:val="24"/>
          <w:szCs w:val="24"/>
        </w:rPr>
        <w:t xml:space="preserve"> data are presented on a seasonally adjusted and not seasonally adjusted basis.  Seasonally adjusted (and/or trading day adjusted data) are produced using X-13ARIMA-SEATS software to develop monthly adjustment factors.  Goods data are initially classified under the Harmonized Commodity Description and Coding System (Harmonized System), which is an internationally accepted standard for the commodity classification of traded goods. Combining trade into approximately 140 export and 140 import end-use categories makes it possible to examine goods according to their principal use</w:t>
      </w:r>
      <w:r w:rsidR="00AF6537">
        <w:rPr>
          <w:rFonts w:ascii="Times New Roman" w:hAnsi="Times New Roman" w:cs="Times New Roman"/>
          <w:sz w:val="24"/>
          <w:szCs w:val="24"/>
        </w:rPr>
        <w:t xml:space="preserve">s. These categories are used as </w:t>
      </w:r>
      <w:r w:rsidRPr="005225BA">
        <w:rPr>
          <w:rFonts w:ascii="Times New Roman" w:hAnsi="Times New Roman" w:cs="Times New Roman"/>
          <w:sz w:val="24"/>
          <w:szCs w:val="24"/>
        </w:rPr>
        <w:t xml:space="preserve">the basis for computing the seasonal and trading-day adjusted data. These adjusted data are then summed to the six end-use aggregates for publication. </w:t>
      </w:r>
    </w:p>
    <w:p w14:paraId="22168EE6" w14:textId="20D59C1E" w:rsidR="005225BA" w:rsidRPr="005225BA" w:rsidRDefault="005225BA" w:rsidP="005225BA">
      <w:pPr>
        <w:spacing w:after="120"/>
        <w:ind w:left="-360"/>
        <w:rPr>
          <w:rFonts w:ascii="Times New Roman" w:hAnsi="Times New Roman" w:cs="Times New Roman"/>
          <w:sz w:val="24"/>
          <w:szCs w:val="24"/>
        </w:rPr>
      </w:pPr>
      <w:r w:rsidRPr="005225BA">
        <w:rPr>
          <w:rFonts w:ascii="Times New Roman" w:hAnsi="Times New Roman" w:cs="Times New Roman"/>
          <w:sz w:val="24"/>
          <w:szCs w:val="24"/>
        </w:rPr>
        <w:t>For more information</w:t>
      </w:r>
      <w:r w:rsidR="00882EBC">
        <w:rPr>
          <w:rFonts w:ascii="Times New Roman" w:hAnsi="Times New Roman" w:cs="Times New Roman"/>
          <w:sz w:val="24"/>
          <w:szCs w:val="24"/>
        </w:rPr>
        <w:t>,</w:t>
      </w:r>
      <w:r w:rsidRPr="005225BA">
        <w:rPr>
          <w:rFonts w:ascii="Times New Roman" w:hAnsi="Times New Roman" w:cs="Times New Roman"/>
          <w:sz w:val="24"/>
          <w:szCs w:val="24"/>
        </w:rPr>
        <w:t xml:space="preserve"> visit the seasonal adjustment section of the Guide to Foreign Trade here: </w:t>
      </w:r>
      <w:hyperlink r:id="rId25" w:anchor="seasonal" w:history="1">
        <w:r w:rsidR="00677828" w:rsidRPr="009D70CB">
          <w:rPr>
            <w:rStyle w:val="Hyperlink"/>
            <w:rFonts w:ascii="Times New Roman" w:hAnsi="Times New Roman" w:cs="Times New Roman"/>
            <w:color w:val="auto"/>
            <w:sz w:val="24"/>
            <w:szCs w:val="24"/>
            <w:u w:val="none"/>
          </w:rPr>
          <w:t>&lt;</w:t>
        </w:r>
        <w:r w:rsidRPr="005225BA">
          <w:rPr>
            <w:rStyle w:val="Hyperlink"/>
            <w:rFonts w:ascii="Times New Roman" w:hAnsi="Times New Roman" w:cs="Times New Roman"/>
            <w:sz w:val="24"/>
            <w:szCs w:val="24"/>
          </w:rPr>
          <w:t>www.census.gov/foreign-trade/guide/sec2.html#seasonal</w:t>
        </w:r>
      </w:hyperlink>
      <w:r w:rsidR="00677828" w:rsidRPr="009D70CB">
        <w:rPr>
          <w:rStyle w:val="Hyperlink"/>
          <w:rFonts w:ascii="Times New Roman" w:hAnsi="Times New Roman" w:cs="Times New Roman"/>
          <w:color w:val="auto"/>
          <w:sz w:val="24"/>
          <w:szCs w:val="24"/>
          <w:u w:val="none"/>
        </w:rPr>
        <w:t>&gt;</w:t>
      </w:r>
    </w:p>
    <w:p w14:paraId="5674D230" w14:textId="77777777" w:rsidR="005225BA" w:rsidRPr="00686D99" w:rsidRDefault="005225BA" w:rsidP="008E498C">
      <w:pPr>
        <w:spacing w:after="0"/>
        <w:ind w:left="-360"/>
        <w:rPr>
          <w:rFonts w:ascii="Times New Roman" w:hAnsi="Times New Roman" w:cs="Times New Roman"/>
          <w:b/>
          <w:bCs/>
          <w:sz w:val="24"/>
          <w:szCs w:val="24"/>
          <w:u w:val="single"/>
        </w:rPr>
      </w:pPr>
      <w:r w:rsidRPr="00686D99">
        <w:rPr>
          <w:rFonts w:ascii="Times New Roman" w:hAnsi="Times New Roman" w:cs="Times New Roman"/>
          <w:b/>
          <w:bCs/>
          <w:sz w:val="24"/>
          <w:szCs w:val="24"/>
          <w:u w:val="single"/>
        </w:rPr>
        <w:t>Retail and Wholesale Inventories</w:t>
      </w:r>
    </w:p>
    <w:p w14:paraId="5AB063F6" w14:textId="15E22F2E" w:rsidR="005225BA" w:rsidRPr="005225BA" w:rsidRDefault="005225BA" w:rsidP="00112D0A">
      <w:pPr>
        <w:spacing w:after="120"/>
        <w:ind w:left="-360"/>
        <w:rPr>
          <w:rFonts w:ascii="Times New Roman" w:hAnsi="Times New Roman" w:cs="Times New Roman"/>
          <w:bCs/>
          <w:sz w:val="24"/>
          <w:szCs w:val="24"/>
        </w:rPr>
      </w:pPr>
      <w:r w:rsidRPr="005225BA">
        <w:rPr>
          <w:rFonts w:ascii="Times New Roman" w:hAnsi="Times New Roman" w:cs="Times New Roman"/>
          <w:bCs/>
          <w:sz w:val="24"/>
          <w:szCs w:val="24"/>
        </w:rPr>
        <w:t>National estimates of end-of-month inventories are based on data from the Monthly Retail Trad</w:t>
      </w:r>
      <w:r w:rsidR="00987FD1">
        <w:rPr>
          <w:rFonts w:ascii="Times New Roman" w:hAnsi="Times New Roman" w:cs="Times New Roman"/>
          <w:bCs/>
          <w:sz w:val="24"/>
          <w:szCs w:val="24"/>
        </w:rPr>
        <w:t xml:space="preserve">e Survey </w:t>
      </w:r>
      <w:r w:rsidRPr="005225BA">
        <w:rPr>
          <w:rFonts w:ascii="Times New Roman" w:hAnsi="Times New Roman" w:cs="Times New Roman"/>
          <w:bCs/>
          <w:sz w:val="24"/>
          <w:szCs w:val="24"/>
        </w:rPr>
        <w:t>and the Month</w:t>
      </w:r>
      <w:r w:rsidR="00987FD1">
        <w:rPr>
          <w:rFonts w:ascii="Times New Roman" w:hAnsi="Times New Roman" w:cs="Times New Roman"/>
          <w:bCs/>
          <w:sz w:val="24"/>
          <w:szCs w:val="24"/>
        </w:rPr>
        <w:t>ly Wholesale Trade Survey</w:t>
      </w:r>
      <w:r w:rsidRPr="005225BA">
        <w:rPr>
          <w:rFonts w:ascii="Times New Roman" w:hAnsi="Times New Roman" w:cs="Times New Roman"/>
          <w:bCs/>
          <w:sz w:val="24"/>
          <w:szCs w:val="24"/>
        </w:rPr>
        <w:t xml:space="preserve">.  Additional information for each survey can be found at </w:t>
      </w:r>
      <w:hyperlink r:id="rId26" w:history="1">
        <w:r w:rsidR="00677828" w:rsidRPr="009D70CB">
          <w:rPr>
            <w:rStyle w:val="Hyperlink"/>
            <w:rFonts w:ascii="Times New Roman" w:hAnsi="Times New Roman" w:cs="Times New Roman"/>
            <w:color w:val="auto"/>
            <w:sz w:val="24"/>
            <w:szCs w:val="24"/>
            <w:u w:val="none"/>
          </w:rPr>
          <w:t>&lt;</w:t>
        </w:r>
        <w:r w:rsidRPr="00B33276">
          <w:rPr>
            <w:rStyle w:val="Hyperlink"/>
            <w:rFonts w:ascii="Times New Roman" w:hAnsi="Times New Roman" w:cs="Times New Roman"/>
            <w:sz w:val="24"/>
            <w:szCs w:val="24"/>
          </w:rPr>
          <w:t>www.census.gov/retail</w:t>
        </w:r>
      </w:hyperlink>
      <w:r w:rsidR="00677828" w:rsidRPr="009D70CB">
        <w:rPr>
          <w:rStyle w:val="Hyperlink"/>
          <w:rFonts w:ascii="Times New Roman" w:hAnsi="Times New Roman" w:cs="Times New Roman"/>
          <w:color w:val="auto"/>
          <w:sz w:val="24"/>
          <w:szCs w:val="24"/>
          <w:u w:val="none"/>
        </w:rPr>
        <w:t>&gt;</w:t>
      </w:r>
      <w:r w:rsidRPr="005225BA">
        <w:rPr>
          <w:rFonts w:ascii="Times New Roman" w:hAnsi="Times New Roman" w:cs="Times New Roman"/>
          <w:bCs/>
          <w:sz w:val="24"/>
          <w:szCs w:val="24"/>
        </w:rPr>
        <w:t xml:space="preserve"> and </w:t>
      </w:r>
      <w:hyperlink r:id="rId27" w:history="1">
        <w:r w:rsidR="00677828" w:rsidRPr="009D70CB">
          <w:rPr>
            <w:rStyle w:val="Hyperlink"/>
            <w:rFonts w:ascii="Times New Roman" w:hAnsi="Times New Roman" w:cs="Times New Roman"/>
            <w:color w:val="auto"/>
            <w:sz w:val="24"/>
            <w:szCs w:val="24"/>
            <w:u w:val="none"/>
          </w:rPr>
          <w:t>&lt;</w:t>
        </w:r>
        <w:r w:rsidRPr="00B33276">
          <w:rPr>
            <w:rStyle w:val="Hyperlink"/>
            <w:rFonts w:ascii="Times New Roman" w:hAnsi="Times New Roman" w:cs="Times New Roman"/>
            <w:sz w:val="24"/>
            <w:szCs w:val="24"/>
          </w:rPr>
          <w:t>www.census.gov/wholesale</w:t>
        </w:r>
      </w:hyperlink>
      <w:r w:rsidR="00677828" w:rsidRPr="009D70CB">
        <w:rPr>
          <w:rStyle w:val="Hyperlink"/>
          <w:rFonts w:ascii="Times New Roman" w:hAnsi="Times New Roman" w:cs="Times New Roman"/>
          <w:color w:val="auto"/>
          <w:sz w:val="24"/>
          <w:szCs w:val="24"/>
          <w:u w:val="none"/>
        </w:rPr>
        <w:t>&gt;</w:t>
      </w:r>
      <w:r w:rsidRPr="005225BA">
        <w:rPr>
          <w:rFonts w:ascii="Times New Roman" w:hAnsi="Times New Roman" w:cs="Times New Roman"/>
          <w:bCs/>
          <w:sz w:val="24"/>
          <w:szCs w:val="24"/>
        </w:rPr>
        <w:t>.  The advance estimates contained in this report are not incorporated into the full</w:t>
      </w:r>
      <w:r w:rsidR="00FA70E3">
        <w:rPr>
          <w:rFonts w:ascii="Times New Roman" w:hAnsi="Times New Roman" w:cs="Times New Roman"/>
          <w:bCs/>
          <w:sz w:val="24"/>
          <w:szCs w:val="24"/>
        </w:rPr>
        <w:t xml:space="preserve"> </w:t>
      </w:r>
      <w:r>
        <w:rPr>
          <w:rFonts w:ascii="Times New Roman" w:hAnsi="Times New Roman" w:cs="Times New Roman"/>
          <w:bCs/>
          <w:sz w:val="24"/>
          <w:szCs w:val="24"/>
        </w:rPr>
        <w:t>MRTS</w:t>
      </w:r>
      <w:r w:rsidR="00FA70E3">
        <w:rPr>
          <w:rFonts w:ascii="Times New Roman" w:hAnsi="Times New Roman" w:cs="Times New Roman"/>
          <w:bCs/>
          <w:sz w:val="24"/>
          <w:szCs w:val="24"/>
        </w:rPr>
        <w:t xml:space="preserve"> and MWTS</w:t>
      </w:r>
      <w:r>
        <w:rPr>
          <w:rFonts w:ascii="Times New Roman" w:hAnsi="Times New Roman" w:cs="Times New Roman"/>
          <w:bCs/>
          <w:sz w:val="24"/>
          <w:szCs w:val="24"/>
        </w:rPr>
        <w:t xml:space="preserve"> time series.  </w:t>
      </w:r>
      <w:r>
        <w:rPr>
          <w:rFonts w:ascii="Times New Roman" w:hAnsi="Times New Roman" w:cs="Times New Roman"/>
          <w:bCs/>
          <w:sz w:val="24"/>
          <w:szCs w:val="24"/>
        </w:rPr>
        <w:tab/>
      </w:r>
      <w:r>
        <w:rPr>
          <w:rFonts w:ascii="Times New Roman" w:hAnsi="Times New Roman" w:cs="Times New Roman"/>
          <w:bCs/>
          <w:sz w:val="24"/>
          <w:szCs w:val="24"/>
        </w:rPr>
        <w:tab/>
      </w:r>
      <w:r w:rsidRPr="005225BA">
        <w:rPr>
          <w:rFonts w:ascii="Times New Roman" w:hAnsi="Times New Roman" w:cs="Times New Roman"/>
          <w:bCs/>
          <w:sz w:val="24"/>
          <w:szCs w:val="24"/>
        </w:rPr>
        <w:tab/>
      </w:r>
    </w:p>
    <w:p w14:paraId="3BF7BD1E" w14:textId="77777777" w:rsidR="005225BA" w:rsidRPr="005225BA" w:rsidRDefault="005225BA" w:rsidP="00112D0A">
      <w:pPr>
        <w:spacing w:after="120"/>
        <w:ind w:left="-360"/>
        <w:rPr>
          <w:rFonts w:ascii="Times New Roman" w:hAnsi="Times New Roman" w:cs="Times New Roman"/>
          <w:sz w:val="24"/>
          <w:szCs w:val="24"/>
        </w:rPr>
      </w:pPr>
      <w:r w:rsidRPr="005225BA">
        <w:rPr>
          <w:rFonts w:ascii="Times New Roman" w:hAnsi="Times New Roman" w:cs="Times New Roman"/>
          <w:bCs/>
          <w:sz w:val="24"/>
          <w:szCs w:val="24"/>
        </w:rPr>
        <w:t>The MRTS and MWTS samples consist of a stratified simple random sampling method of approximately 10,000 retail firms and 4,200 wholesale firms located in the United States.</w:t>
      </w:r>
      <w:r w:rsidRPr="005225BA">
        <w:rPr>
          <w:rFonts w:ascii="Times New Roman" w:hAnsi="Times New Roman" w:cs="Times New Roman"/>
          <w:b/>
          <w:bCs/>
          <w:sz w:val="24"/>
          <w:szCs w:val="24"/>
        </w:rPr>
        <w:t xml:space="preserve">  </w:t>
      </w:r>
      <w:r w:rsidRPr="005225BA">
        <w:rPr>
          <w:rFonts w:ascii="Times New Roman" w:hAnsi="Times New Roman" w:cs="Times New Roman"/>
          <w:sz w:val="24"/>
          <w:szCs w:val="24"/>
        </w:rPr>
        <w:t xml:space="preserve">The retail and wholesale samples include firms of all sizes and are updated on a quarterly basis to account for new retail and wholesale firms, deaths, and other changes to the universe.   </w:t>
      </w:r>
    </w:p>
    <w:p w14:paraId="2A1EFF31" w14:textId="0F7D39EF" w:rsidR="005225BA" w:rsidRPr="005225BA" w:rsidRDefault="005225BA" w:rsidP="005225BA">
      <w:pPr>
        <w:spacing w:after="120"/>
        <w:ind w:left="-360"/>
        <w:rPr>
          <w:rFonts w:ascii="Times New Roman" w:hAnsi="Times New Roman" w:cs="Times New Roman"/>
          <w:sz w:val="24"/>
          <w:szCs w:val="24"/>
        </w:rPr>
      </w:pPr>
      <w:r w:rsidRPr="005225BA">
        <w:rPr>
          <w:rFonts w:ascii="Times New Roman" w:hAnsi="Times New Roman" w:cs="Times New Roman"/>
          <w:sz w:val="24"/>
          <w:szCs w:val="24"/>
        </w:rPr>
        <w:t>Data for nonresponding firms are imputed based on data for similar-sized firms classified in the same kind of business</w:t>
      </w:r>
      <w:r w:rsidR="00FA70E3" w:rsidRPr="00775FE4">
        <w:rPr>
          <w:rFonts w:ascii="Times New Roman" w:hAnsi="Times New Roman" w:cs="Times New Roman"/>
          <w:sz w:val="24"/>
          <w:szCs w:val="24"/>
        </w:rPr>
        <w:t>.  For surveyed Reta</w:t>
      </w:r>
      <w:r w:rsidR="001875CC">
        <w:rPr>
          <w:rFonts w:ascii="Times New Roman" w:hAnsi="Times New Roman" w:cs="Times New Roman"/>
          <w:sz w:val="24"/>
          <w:szCs w:val="24"/>
        </w:rPr>
        <w:t>il companies, approximately 47.3</w:t>
      </w:r>
      <w:r w:rsidR="00FA70E3" w:rsidRPr="00775FE4">
        <w:rPr>
          <w:rFonts w:ascii="Times New Roman" w:hAnsi="Times New Roman" w:cs="Times New Roman"/>
          <w:sz w:val="24"/>
          <w:szCs w:val="24"/>
        </w:rPr>
        <w:t xml:space="preserve"> percent provided data for this reporting period resulting in a tota</w:t>
      </w:r>
      <w:r w:rsidR="00775FE4" w:rsidRPr="00775FE4">
        <w:rPr>
          <w:rFonts w:ascii="Times New Roman" w:hAnsi="Times New Roman" w:cs="Times New Roman"/>
          <w:sz w:val="24"/>
          <w:szCs w:val="24"/>
        </w:rPr>
        <w:t>l quantity response rate of 52.7</w:t>
      </w:r>
      <w:r w:rsidR="00FA70E3" w:rsidRPr="00775FE4">
        <w:rPr>
          <w:rFonts w:ascii="Times New Roman" w:hAnsi="Times New Roman" w:cs="Times New Roman"/>
          <w:sz w:val="24"/>
          <w:szCs w:val="24"/>
        </w:rPr>
        <w:t xml:space="preserve"> percent.</w:t>
      </w:r>
      <w:r w:rsidR="00FA70E3">
        <w:rPr>
          <w:rFonts w:ascii="Times New Roman" w:hAnsi="Times New Roman" w:cs="Times New Roman"/>
          <w:sz w:val="24"/>
          <w:szCs w:val="24"/>
        </w:rPr>
        <w:t xml:space="preserve">  </w:t>
      </w:r>
      <w:r w:rsidRPr="00313161">
        <w:rPr>
          <w:rFonts w:ascii="Times New Roman" w:hAnsi="Times New Roman" w:cs="Times New Roman"/>
          <w:sz w:val="24"/>
          <w:szCs w:val="24"/>
        </w:rPr>
        <w:t>For surveyed Wholesale companies, approximately 5</w:t>
      </w:r>
      <w:r w:rsidR="00C42B3E">
        <w:rPr>
          <w:rFonts w:ascii="Times New Roman" w:hAnsi="Times New Roman" w:cs="Times New Roman"/>
          <w:sz w:val="24"/>
          <w:szCs w:val="24"/>
        </w:rPr>
        <w:t>7.</w:t>
      </w:r>
      <w:r w:rsidR="00BD63DA">
        <w:rPr>
          <w:rFonts w:ascii="Times New Roman" w:hAnsi="Times New Roman" w:cs="Times New Roman"/>
          <w:sz w:val="24"/>
          <w:szCs w:val="24"/>
        </w:rPr>
        <w:t>0</w:t>
      </w:r>
      <w:r w:rsidR="00C352D6" w:rsidRPr="00313161">
        <w:rPr>
          <w:rFonts w:ascii="Times New Roman" w:hAnsi="Times New Roman" w:cs="Times New Roman"/>
          <w:sz w:val="24"/>
          <w:szCs w:val="24"/>
        </w:rPr>
        <w:t xml:space="preserve"> percent</w:t>
      </w:r>
      <w:r w:rsidRPr="00313161">
        <w:rPr>
          <w:rFonts w:ascii="Times New Roman" w:hAnsi="Times New Roman" w:cs="Times New Roman"/>
          <w:sz w:val="24"/>
          <w:szCs w:val="24"/>
        </w:rPr>
        <w:t xml:space="preserve"> provided data for this reporting period resulting in a total quantity response rate of </w:t>
      </w:r>
      <w:r w:rsidR="00BD63DA">
        <w:rPr>
          <w:rFonts w:ascii="Times New Roman" w:hAnsi="Times New Roman" w:cs="Times New Roman"/>
          <w:sz w:val="24"/>
          <w:szCs w:val="24"/>
        </w:rPr>
        <w:t>58.0</w:t>
      </w:r>
      <w:r w:rsidR="00C352D6" w:rsidRPr="00313161">
        <w:rPr>
          <w:rFonts w:ascii="Times New Roman" w:hAnsi="Times New Roman" w:cs="Times New Roman"/>
          <w:sz w:val="24"/>
          <w:szCs w:val="24"/>
        </w:rPr>
        <w:t xml:space="preserve"> percent</w:t>
      </w:r>
      <w:r w:rsidRPr="00313161">
        <w:rPr>
          <w:rFonts w:ascii="Times New Roman" w:hAnsi="Times New Roman" w:cs="Times New Roman"/>
          <w:sz w:val="24"/>
          <w:szCs w:val="24"/>
        </w:rPr>
        <w:t xml:space="preserve">.  </w:t>
      </w:r>
      <w:r w:rsidRPr="005225BA">
        <w:rPr>
          <w:rFonts w:ascii="Times New Roman" w:hAnsi="Times New Roman" w:cs="Times New Roman"/>
          <w:sz w:val="24"/>
          <w:szCs w:val="24"/>
        </w:rPr>
        <w:t xml:space="preserve">  </w:t>
      </w:r>
    </w:p>
    <w:p w14:paraId="0230C5BC" w14:textId="77777777" w:rsidR="005225BA" w:rsidRPr="005225BA" w:rsidRDefault="005225BA" w:rsidP="005225BA">
      <w:pPr>
        <w:spacing w:after="120"/>
        <w:ind w:left="-360"/>
        <w:rPr>
          <w:rFonts w:ascii="Times New Roman" w:hAnsi="Times New Roman" w:cs="Times New Roman"/>
          <w:bCs/>
          <w:sz w:val="24"/>
          <w:szCs w:val="24"/>
        </w:rPr>
      </w:pPr>
      <w:r w:rsidRPr="005225BA">
        <w:rPr>
          <w:rFonts w:ascii="Times New Roman" w:hAnsi="Times New Roman" w:cs="Times New Roman"/>
          <w:sz w:val="24"/>
          <w:szCs w:val="24"/>
        </w:rPr>
        <w:t>MRTS estimates cover companies with one or more establishments that sell merchandise and related services to final consumers.  N</w:t>
      </w:r>
      <w:r w:rsidRPr="005225BA">
        <w:rPr>
          <w:rFonts w:ascii="Times New Roman" w:hAnsi="Times New Roman" w:cs="Times New Roman"/>
          <w:bCs/>
          <w:sz w:val="24"/>
          <w:szCs w:val="24"/>
        </w:rPr>
        <w:t xml:space="preserve">onemployers are represented in the retail estimates through benchmarking to prior annual survey estimates that include nonemployer sales based on administrative records. </w:t>
      </w:r>
    </w:p>
    <w:p w14:paraId="241E62FD" w14:textId="77777777" w:rsidR="005225BA" w:rsidRPr="005225BA" w:rsidRDefault="005225BA" w:rsidP="005225BA">
      <w:pPr>
        <w:spacing w:after="120"/>
        <w:ind w:left="-360"/>
        <w:rPr>
          <w:rFonts w:ascii="Times New Roman" w:hAnsi="Times New Roman" w:cs="Times New Roman"/>
          <w:bCs/>
          <w:sz w:val="24"/>
          <w:szCs w:val="24"/>
        </w:rPr>
      </w:pPr>
      <w:r w:rsidRPr="005225BA">
        <w:rPr>
          <w:rFonts w:ascii="Times New Roman" w:hAnsi="Times New Roman" w:cs="Times New Roman"/>
          <w:bCs/>
          <w:sz w:val="24"/>
          <w:szCs w:val="24"/>
        </w:rPr>
        <w:t>MWTS estimates cover wholesale merchants who sell goods on their own account and include such businesses as wholesale merchants or jobbers, industrial distributors, exporters, and importers.  Sales offices and branches maintained by manufacturing, refining, or mining firms for the purpose of marketing their products are not covered in this report. Also excluded is NAICS Industry Group 4251: Wholesale Electronic Markets and Agents and Brokers.</w:t>
      </w:r>
      <w:r w:rsidRPr="005225BA">
        <w:rPr>
          <w:rFonts w:ascii="Times New Roman" w:hAnsi="Times New Roman" w:cs="Times New Roman"/>
          <w:bCs/>
          <w:sz w:val="24"/>
          <w:szCs w:val="24"/>
        </w:rPr>
        <w:tab/>
      </w:r>
      <w:r w:rsidRPr="005225BA">
        <w:rPr>
          <w:rFonts w:ascii="Times New Roman" w:hAnsi="Times New Roman" w:cs="Times New Roman"/>
          <w:bCs/>
          <w:sz w:val="24"/>
          <w:szCs w:val="24"/>
        </w:rPr>
        <w:tab/>
      </w:r>
      <w:r w:rsidRPr="005225BA">
        <w:rPr>
          <w:rFonts w:ascii="Times New Roman" w:hAnsi="Times New Roman" w:cs="Times New Roman"/>
          <w:bCs/>
          <w:sz w:val="24"/>
          <w:szCs w:val="24"/>
        </w:rPr>
        <w:tab/>
      </w:r>
      <w:r w:rsidRPr="005225BA">
        <w:rPr>
          <w:rFonts w:ascii="Times New Roman" w:hAnsi="Times New Roman" w:cs="Times New Roman"/>
          <w:bCs/>
          <w:sz w:val="24"/>
          <w:szCs w:val="24"/>
        </w:rPr>
        <w:tab/>
      </w:r>
      <w:r w:rsidRPr="005225BA">
        <w:rPr>
          <w:rFonts w:ascii="Times New Roman" w:hAnsi="Times New Roman" w:cs="Times New Roman"/>
          <w:bCs/>
          <w:sz w:val="24"/>
          <w:szCs w:val="24"/>
        </w:rPr>
        <w:tab/>
      </w:r>
      <w:r w:rsidRPr="005225BA">
        <w:rPr>
          <w:rFonts w:ascii="Times New Roman" w:hAnsi="Times New Roman" w:cs="Times New Roman"/>
          <w:bCs/>
          <w:sz w:val="24"/>
          <w:szCs w:val="24"/>
        </w:rPr>
        <w:tab/>
      </w:r>
      <w:r w:rsidRPr="005225BA">
        <w:rPr>
          <w:rFonts w:ascii="Times New Roman" w:hAnsi="Times New Roman" w:cs="Times New Roman"/>
          <w:bCs/>
          <w:sz w:val="24"/>
          <w:szCs w:val="24"/>
        </w:rPr>
        <w:tab/>
      </w:r>
      <w:r w:rsidRPr="005225BA">
        <w:rPr>
          <w:rFonts w:ascii="Times New Roman" w:hAnsi="Times New Roman" w:cs="Times New Roman"/>
          <w:bCs/>
          <w:sz w:val="24"/>
          <w:szCs w:val="24"/>
        </w:rPr>
        <w:tab/>
      </w:r>
      <w:r w:rsidRPr="005225BA">
        <w:rPr>
          <w:rFonts w:ascii="Times New Roman" w:hAnsi="Times New Roman" w:cs="Times New Roman"/>
          <w:bCs/>
          <w:sz w:val="24"/>
          <w:szCs w:val="24"/>
        </w:rPr>
        <w:tab/>
      </w:r>
    </w:p>
    <w:p w14:paraId="3CC84566" w14:textId="77777777" w:rsidR="005225BA" w:rsidRPr="005225BA" w:rsidRDefault="005225BA" w:rsidP="008E498C">
      <w:pPr>
        <w:spacing w:after="0"/>
        <w:ind w:left="-360"/>
        <w:rPr>
          <w:rFonts w:ascii="Times New Roman" w:hAnsi="Times New Roman" w:cs="Times New Roman"/>
          <w:sz w:val="24"/>
          <w:szCs w:val="24"/>
        </w:rPr>
      </w:pPr>
      <w:r w:rsidRPr="005225BA">
        <w:rPr>
          <w:rFonts w:ascii="Times New Roman" w:hAnsi="Times New Roman" w:cs="Times New Roman"/>
          <w:b/>
          <w:bCs/>
          <w:sz w:val="24"/>
          <w:szCs w:val="24"/>
        </w:rPr>
        <w:t>Reliability of Estimates</w:t>
      </w:r>
    </w:p>
    <w:p w14:paraId="6A1B4174" w14:textId="77777777" w:rsidR="005225BA" w:rsidRPr="005225BA" w:rsidRDefault="005225BA" w:rsidP="00112D0A">
      <w:pPr>
        <w:spacing w:after="120"/>
        <w:ind w:left="-360"/>
        <w:rPr>
          <w:rFonts w:ascii="Times New Roman" w:hAnsi="Times New Roman" w:cs="Times New Roman"/>
          <w:sz w:val="24"/>
          <w:szCs w:val="24"/>
        </w:rPr>
      </w:pPr>
      <w:r w:rsidRPr="005225BA">
        <w:rPr>
          <w:rFonts w:ascii="Times New Roman" w:hAnsi="Times New Roman" w:cs="Times New Roman"/>
          <w:sz w:val="24"/>
          <w:szCs w:val="24"/>
        </w:rPr>
        <w:t>Because the retail and wholesale estimates are based on a sample survey, they contain sampling error and nonsampling error.</w:t>
      </w:r>
    </w:p>
    <w:p w14:paraId="32AAF275" w14:textId="365530FD" w:rsidR="005225BA" w:rsidRDefault="005225BA" w:rsidP="00112D0A">
      <w:pPr>
        <w:spacing w:after="120"/>
        <w:ind w:left="-360"/>
        <w:rPr>
          <w:rFonts w:ascii="Times New Roman" w:hAnsi="Times New Roman" w:cs="Times New Roman"/>
          <w:sz w:val="24"/>
          <w:szCs w:val="24"/>
        </w:rPr>
      </w:pPr>
      <w:r w:rsidRPr="005225BA">
        <w:rPr>
          <w:rFonts w:ascii="Times New Roman" w:hAnsi="Times New Roman" w:cs="Times New Roman"/>
          <w:sz w:val="24"/>
          <w:szCs w:val="24"/>
        </w:rPr>
        <w:t>Sampling error is the difference between the estimate and the result that would be obtained from a complete enumeration of the sampling frame conducted under the same survey conditions. This error occurs because only a subset of the entire sampling frame is measured in a sample survey. Standard errors and coefficients of variation are estimated measures of sampling variation.</w:t>
      </w:r>
    </w:p>
    <w:p w14:paraId="63243AE2" w14:textId="06B0E5B0" w:rsidR="005225BA" w:rsidRPr="005225BA" w:rsidRDefault="005225BA" w:rsidP="005225BA">
      <w:pPr>
        <w:spacing w:after="120"/>
        <w:ind w:left="-360"/>
        <w:rPr>
          <w:rFonts w:ascii="Times New Roman" w:hAnsi="Times New Roman" w:cs="Times New Roman"/>
          <w:sz w:val="24"/>
          <w:szCs w:val="24"/>
        </w:rPr>
      </w:pPr>
      <w:r w:rsidRPr="005225BA">
        <w:rPr>
          <w:rFonts w:ascii="Times New Roman" w:hAnsi="Times New Roman" w:cs="Times New Roman"/>
          <w:sz w:val="24"/>
          <w:szCs w:val="24"/>
        </w:rPr>
        <w:t>The margin of sampling error gives a range about the estimate which is a 90 percent confidence interval. If, for example, the percent</w:t>
      </w:r>
      <w:r w:rsidR="00B1674B">
        <w:rPr>
          <w:rFonts w:ascii="Times New Roman" w:hAnsi="Times New Roman" w:cs="Times New Roman"/>
          <w:sz w:val="24"/>
          <w:szCs w:val="24"/>
        </w:rPr>
        <w:t>age</w:t>
      </w:r>
      <w:r w:rsidRPr="005225BA">
        <w:rPr>
          <w:rFonts w:ascii="Times New Roman" w:hAnsi="Times New Roman" w:cs="Times New Roman"/>
          <w:sz w:val="24"/>
          <w:szCs w:val="24"/>
        </w:rPr>
        <w:t xml:space="preserve"> change estimate is +1.2 percent and its estimated standard error is 0.9 percent, then the margin of sampling error is ±1.753 x 0.9 percent or ±1.6 percent, and the 90 percent confidence interval is −0.4 percent to +2.8 percent. If the interval contains 0, then one does not have sufficient evidence to conclude at the 90 percent confidence level that the change is different from zero and therefore the change is not statistically significant. Estimated changes are statistically significant unless otherwise noted. For a monthly total, the estimated coefficient of variation is given. The resulting confidence interval is the estimated value ±1.753 x CV x (the estimated monthly total). </w:t>
      </w:r>
    </w:p>
    <w:p w14:paraId="7FF3DBC5" w14:textId="77777777" w:rsidR="005225BA" w:rsidRPr="005225BA" w:rsidRDefault="005225BA" w:rsidP="005225BA">
      <w:pPr>
        <w:spacing w:after="120"/>
        <w:ind w:left="-360"/>
        <w:rPr>
          <w:rFonts w:ascii="Times New Roman" w:hAnsi="Times New Roman" w:cs="Times New Roman"/>
          <w:sz w:val="24"/>
          <w:szCs w:val="24"/>
        </w:rPr>
      </w:pPr>
      <w:r w:rsidRPr="005225BA">
        <w:rPr>
          <w:rFonts w:ascii="Times New Roman" w:hAnsi="Times New Roman" w:cs="Times New Roman"/>
          <w:sz w:val="24"/>
          <w:szCs w:val="24"/>
        </w:rPr>
        <w:t xml:space="preserve">Nonsampling error encompasses all other factors that contribute to the total error of a sample survey estimate. This type of error can occur because of nonresponse, insufficient coverage of the universe of businesses, mistakes in the recording and coding of data, and other errors of collection, response, coverage, or processing. Although nonsampling error is not measured directly, the Census Bureau employs quality control procedures throughout the process to minimize this type of error. </w:t>
      </w:r>
    </w:p>
    <w:p w14:paraId="49431571" w14:textId="77777777" w:rsidR="005225BA" w:rsidRPr="005225BA" w:rsidRDefault="005225BA" w:rsidP="005225BA">
      <w:pPr>
        <w:spacing w:after="120"/>
        <w:ind w:left="-360"/>
        <w:rPr>
          <w:rFonts w:ascii="Times New Roman" w:hAnsi="Times New Roman" w:cs="Times New Roman"/>
          <w:sz w:val="24"/>
          <w:szCs w:val="24"/>
        </w:rPr>
      </w:pPr>
      <w:r w:rsidRPr="005225BA">
        <w:rPr>
          <w:rFonts w:ascii="Times New Roman" w:hAnsi="Times New Roman" w:cs="Times New Roman"/>
          <w:sz w:val="24"/>
          <w:szCs w:val="24"/>
        </w:rPr>
        <w:t>The U.S. Census Bureau recommends that individuals using retail and wholesale estimates incorporate this information into their analyses, as sampling error and nonsampling error could affect the conclusions drawn from the estimates.</w:t>
      </w:r>
    </w:p>
    <w:p w14:paraId="2D9A7A13" w14:textId="21A9AB03" w:rsidR="005225BA" w:rsidRPr="005225BA" w:rsidRDefault="005D1723" w:rsidP="008E498C">
      <w:pPr>
        <w:spacing w:after="0"/>
        <w:ind w:left="-360"/>
        <w:rPr>
          <w:rFonts w:ascii="Times New Roman" w:hAnsi="Times New Roman" w:cs="Times New Roman"/>
          <w:b/>
          <w:sz w:val="24"/>
          <w:szCs w:val="24"/>
        </w:rPr>
      </w:pPr>
      <w:r>
        <w:rPr>
          <w:rFonts w:ascii="Times New Roman" w:hAnsi="Times New Roman" w:cs="Times New Roman"/>
          <w:b/>
          <w:sz w:val="24"/>
          <w:szCs w:val="24"/>
        </w:rPr>
        <w:t>Adjustments for Seasonal V</w:t>
      </w:r>
      <w:r w:rsidR="005225BA" w:rsidRPr="005225BA">
        <w:rPr>
          <w:rFonts w:ascii="Times New Roman" w:hAnsi="Times New Roman" w:cs="Times New Roman"/>
          <w:b/>
          <w:sz w:val="24"/>
          <w:szCs w:val="24"/>
        </w:rPr>
        <w:t>ariations</w:t>
      </w:r>
    </w:p>
    <w:p w14:paraId="24C45D46" w14:textId="35D4060E" w:rsidR="005225BA" w:rsidRPr="005225BA" w:rsidRDefault="005225BA" w:rsidP="008E498C">
      <w:pPr>
        <w:spacing w:after="120"/>
        <w:ind w:left="-360"/>
        <w:rPr>
          <w:rFonts w:ascii="Times New Roman" w:hAnsi="Times New Roman" w:cs="Times New Roman"/>
          <w:sz w:val="24"/>
          <w:szCs w:val="24"/>
        </w:rPr>
      </w:pPr>
      <w:r w:rsidRPr="005225BA">
        <w:rPr>
          <w:rFonts w:ascii="Times New Roman" w:hAnsi="Times New Roman" w:cs="Times New Roman"/>
          <w:sz w:val="24"/>
          <w:szCs w:val="24"/>
        </w:rPr>
        <w:t>Concurrent seasonal adjustment is used to adjust the retail and wholesale inventories estimates for seasonal variations. Concurrent seasonal adjustment uses all available unadjusted estimates as input to the X-13ARIMA-SEATS program. The factors derived from the program are applied to the retail and wholesale estimates of current and previous month inventories and for inventories</w:t>
      </w:r>
      <w:r w:rsidR="008E498C">
        <w:rPr>
          <w:rFonts w:ascii="Times New Roman" w:hAnsi="Times New Roman" w:cs="Times New Roman"/>
          <w:sz w:val="24"/>
          <w:szCs w:val="24"/>
        </w:rPr>
        <w:t xml:space="preserve"> estimates a year ago as well. </w:t>
      </w:r>
    </w:p>
    <w:p w14:paraId="2235358B" w14:textId="7FFEA154" w:rsidR="005225BA" w:rsidRPr="008E498C" w:rsidRDefault="005D1723" w:rsidP="008E498C">
      <w:pPr>
        <w:spacing w:after="0"/>
        <w:ind w:left="-360"/>
        <w:rPr>
          <w:rFonts w:ascii="Times New Roman" w:hAnsi="Times New Roman" w:cs="Times New Roman"/>
          <w:b/>
          <w:sz w:val="24"/>
          <w:szCs w:val="24"/>
        </w:rPr>
      </w:pPr>
      <w:r>
        <w:rPr>
          <w:rFonts w:ascii="Times New Roman" w:hAnsi="Times New Roman" w:cs="Times New Roman"/>
          <w:b/>
          <w:sz w:val="24"/>
          <w:szCs w:val="24"/>
        </w:rPr>
        <w:t>Data A</w:t>
      </w:r>
      <w:r w:rsidR="005225BA" w:rsidRPr="008E498C">
        <w:rPr>
          <w:rFonts w:ascii="Times New Roman" w:hAnsi="Times New Roman" w:cs="Times New Roman"/>
          <w:b/>
          <w:sz w:val="24"/>
          <w:szCs w:val="24"/>
        </w:rPr>
        <w:t>vailability</w:t>
      </w:r>
    </w:p>
    <w:p w14:paraId="148C1E33" w14:textId="2FD1B559" w:rsidR="008E498C" w:rsidRDefault="005225BA" w:rsidP="008E498C">
      <w:pPr>
        <w:spacing w:after="120"/>
        <w:ind w:left="-360"/>
        <w:rPr>
          <w:rFonts w:ascii="Times New Roman" w:hAnsi="Times New Roman" w:cs="Times New Roman"/>
          <w:sz w:val="24"/>
          <w:szCs w:val="24"/>
        </w:rPr>
      </w:pPr>
      <w:r w:rsidRPr="005225BA">
        <w:rPr>
          <w:rFonts w:ascii="Times New Roman" w:hAnsi="Times New Roman" w:cs="Times New Roman"/>
          <w:sz w:val="24"/>
          <w:szCs w:val="24"/>
        </w:rPr>
        <w:t>The Advance Economic Indicators Report is ava</w:t>
      </w:r>
      <w:r w:rsidR="00C352D6">
        <w:rPr>
          <w:rFonts w:ascii="Times New Roman" w:hAnsi="Times New Roman" w:cs="Times New Roman"/>
          <w:sz w:val="24"/>
          <w:szCs w:val="24"/>
        </w:rPr>
        <w:t xml:space="preserve">ilable at </w:t>
      </w:r>
      <w:hyperlink r:id="rId28" w:history="1">
        <w:r w:rsidR="00677828" w:rsidRPr="009D70CB">
          <w:rPr>
            <w:rStyle w:val="Hyperlink"/>
            <w:rFonts w:ascii="Times New Roman" w:hAnsi="Times New Roman" w:cs="Times New Roman"/>
            <w:color w:val="auto"/>
            <w:sz w:val="24"/>
            <w:szCs w:val="24"/>
            <w:u w:val="none"/>
          </w:rPr>
          <w:t>&lt;</w:t>
        </w:r>
        <w:r w:rsidRPr="005225BA">
          <w:rPr>
            <w:rStyle w:val="Hyperlink"/>
            <w:rFonts w:ascii="Times New Roman" w:hAnsi="Times New Roman" w:cs="Times New Roman"/>
            <w:sz w:val="24"/>
            <w:szCs w:val="24"/>
          </w:rPr>
          <w:t>www.census.gov/econ/indicators/index.html</w:t>
        </w:r>
      </w:hyperlink>
      <w:r w:rsidR="00677828" w:rsidRPr="009D70CB">
        <w:rPr>
          <w:rStyle w:val="Hyperlink"/>
          <w:rFonts w:ascii="Times New Roman" w:hAnsi="Times New Roman" w:cs="Times New Roman"/>
          <w:color w:val="auto"/>
          <w:sz w:val="24"/>
          <w:szCs w:val="24"/>
          <w:u w:val="none"/>
        </w:rPr>
        <w:t>&gt;</w:t>
      </w:r>
      <w:r w:rsidRPr="005225BA">
        <w:rPr>
          <w:rFonts w:ascii="Times New Roman" w:hAnsi="Times New Roman" w:cs="Times New Roman"/>
          <w:sz w:val="24"/>
          <w:szCs w:val="24"/>
        </w:rPr>
        <w:t xml:space="preserve">. For archived versions of the Advance Economic Indicators Report please visit the Historical Data tab at the following: </w:t>
      </w:r>
      <w:hyperlink r:id="rId29" w:history="1">
        <w:r w:rsidR="00677828" w:rsidRPr="009D70CB">
          <w:rPr>
            <w:rStyle w:val="Hyperlink"/>
            <w:rFonts w:ascii="Times New Roman" w:hAnsi="Times New Roman" w:cs="Times New Roman"/>
            <w:color w:val="auto"/>
            <w:sz w:val="24"/>
            <w:szCs w:val="24"/>
            <w:u w:val="none"/>
          </w:rPr>
          <w:t>&lt;</w:t>
        </w:r>
        <w:r w:rsidRPr="005225BA">
          <w:rPr>
            <w:rStyle w:val="Hyperlink"/>
            <w:rFonts w:ascii="Times New Roman" w:hAnsi="Times New Roman" w:cs="Times New Roman"/>
            <w:sz w:val="24"/>
            <w:szCs w:val="24"/>
          </w:rPr>
          <w:t>census.gov/econ/indicators/historical_data.html</w:t>
        </w:r>
      </w:hyperlink>
      <w:r w:rsidR="00677828" w:rsidRPr="009D70CB">
        <w:rPr>
          <w:rStyle w:val="Hyperlink"/>
          <w:rFonts w:ascii="Times New Roman" w:hAnsi="Times New Roman" w:cs="Times New Roman"/>
          <w:color w:val="auto"/>
          <w:sz w:val="24"/>
          <w:szCs w:val="24"/>
          <w:u w:val="none"/>
        </w:rPr>
        <w:t>&gt;</w:t>
      </w:r>
      <w:r w:rsidRPr="005225BA">
        <w:rPr>
          <w:rFonts w:ascii="Times New Roman" w:hAnsi="Times New Roman" w:cs="Times New Roman"/>
          <w:sz w:val="24"/>
          <w:szCs w:val="24"/>
        </w:rPr>
        <w:t>.</w:t>
      </w:r>
    </w:p>
    <w:p w14:paraId="6BA7EA54" w14:textId="77777777" w:rsidR="008E498C" w:rsidRPr="008E498C" w:rsidRDefault="008E498C" w:rsidP="008E498C">
      <w:pPr>
        <w:spacing w:after="0"/>
        <w:ind w:left="-360"/>
        <w:rPr>
          <w:rFonts w:ascii="Times New Roman" w:hAnsi="Times New Roman" w:cs="Times New Roman"/>
          <w:b/>
          <w:sz w:val="24"/>
          <w:szCs w:val="24"/>
        </w:rPr>
      </w:pPr>
      <w:r w:rsidRPr="008E498C">
        <w:rPr>
          <w:rFonts w:ascii="Times New Roman" w:hAnsi="Times New Roman" w:cs="Times New Roman"/>
          <w:b/>
          <w:sz w:val="24"/>
          <w:szCs w:val="24"/>
        </w:rPr>
        <w:t>America’s Economy Mobile App</w:t>
      </w:r>
    </w:p>
    <w:p w14:paraId="23D59B58" w14:textId="77777777" w:rsidR="008E498C" w:rsidRPr="005B61C2" w:rsidRDefault="008E498C" w:rsidP="008E498C">
      <w:pPr>
        <w:spacing w:after="0"/>
        <w:ind w:left="-360"/>
        <w:rPr>
          <w:rFonts w:ascii="Times New Roman" w:hAnsi="Times New Roman" w:cs="Times New Roman"/>
          <w:sz w:val="24"/>
          <w:szCs w:val="24"/>
        </w:rPr>
      </w:pPr>
      <w:r w:rsidRPr="005B61C2">
        <w:rPr>
          <w:rFonts w:ascii="Times New Roman" w:hAnsi="Times New Roman" w:cs="Times New Roman"/>
          <w:sz w:val="24"/>
          <w:szCs w:val="24"/>
        </w:rPr>
        <w:t xml:space="preserve">The America’s Economy app provides real-time updates for 19 key economic indicators released from the U.S. Census Bureau, Bureau of Labor Statistics, and Bureau of Economic Analysis. </w:t>
      </w:r>
    </w:p>
    <w:p w14:paraId="5EECC5C5" w14:textId="497A9681" w:rsidR="009A4905" w:rsidRPr="00E94358" w:rsidRDefault="00536E8B" w:rsidP="00E94358">
      <w:pPr>
        <w:spacing w:after="120"/>
        <w:ind w:left="-360"/>
        <w:rPr>
          <w:rFonts w:ascii="Times New Roman" w:hAnsi="Times New Roman" w:cs="Times New Roman"/>
          <w:color w:val="0000FF" w:themeColor="hyperlink"/>
          <w:sz w:val="24"/>
          <w:szCs w:val="24"/>
          <w:u w:val="single"/>
        </w:rPr>
      </w:pPr>
      <w:hyperlink r:id="rId30" w:history="1">
        <w:r w:rsidR="00677828" w:rsidRPr="009D70CB">
          <w:rPr>
            <w:rFonts w:ascii="Times New Roman" w:hAnsi="Times New Roman" w:cs="Times New Roman"/>
            <w:sz w:val="24"/>
            <w:szCs w:val="24"/>
          </w:rPr>
          <w:t>&lt;</w:t>
        </w:r>
        <w:r w:rsidR="008E498C" w:rsidRPr="005B61C2">
          <w:rPr>
            <w:rFonts w:ascii="Times New Roman" w:hAnsi="Times New Roman" w:cs="Times New Roman"/>
            <w:color w:val="0000FF" w:themeColor="hyperlink"/>
            <w:sz w:val="24"/>
            <w:szCs w:val="24"/>
            <w:u w:val="single"/>
          </w:rPr>
          <w:t>www.census.gov/mobile/economy/</w:t>
        </w:r>
      </w:hyperlink>
      <w:r w:rsidR="00677828" w:rsidRPr="009D70CB">
        <w:rPr>
          <w:rFonts w:ascii="Times New Roman" w:hAnsi="Times New Roman" w:cs="Times New Roman"/>
          <w:sz w:val="24"/>
          <w:szCs w:val="24"/>
        </w:rPr>
        <w:t>&gt;</w:t>
      </w:r>
    </w:p>
    <w:p w14:paraId="4731C784" w14:textId="77777777" w:rsidR="008E498C" w:rsidRDefault="008E498C" w:rsidP="008E498C">
      <w:pPr>
        <w:spacing w:after="0"/>
        <w:ind w:left="-360"/>
        <w:rPr>
          <w:rFonts w:ascii="Times New Roman" w:hAnsi="Times New Roman" w:cs="Times New Roman"/>
          <w:b/>
          <w:sz w:val="24"/>
          <w:szCs w:val="24"/>
        </w:rPr>
      </w:pPr>
      <w:r w:rsidRPr="005B61C2">
        <w:rPr>
          <w:rFonts w:ascii="Times New Roman" w:hAnsi="Times New Roman" w:cs="Times New Roman"/>
          <w:b/>
          <w:sz w:val="24"/>
          <w:szCs w:val="24"/>
        </w:rPr>
        <w:t>API</w:t>
      </w:r>
    </w:p>
    <w:p w14:paraId="5BBFEE4A" w14:textId="1940E81E" w:rsidR="008E498C" w:rsidRPr="005B61C2" w:rsidRDefault="008E498C" w:rsidP="008E498C">
      <w:pPr>
        <w:spacing w:after="0"/>
        <w:ind w:left="-360"/>
        <w:rPr>
          <w:rFonts w:ascii="Times New Roman" w:hAnsi="Times New Roman" w:cs="Times New Roman"/>
          <w:sz w:val="24"/>
          <w:szCs w:val="24"/>
        </w:rPr>
      </w:pPr>
      <w:r w:rsidRPr="005B61C2">
        <w:rPr>
          <w:rFonts w:ascii="Times New Roman" w:hAnsi="Times New Roman" w:cs="Times New Roman"/>
          <w:sz w:val="24"/>
          <w:szCs w:val="24"/>
        </w:rPr>
        <w:t xml:space="preserve">The Census </w:t>
      </w:r>
      <w:r w:rsidRPr="003E238D">
        <w:rPr>
          <w:rFonts w:ascii="Times New Roman" w:hAnsi="Times New Roman" w:cs="Times New Roman"/>
          <w:sz w:val="24"/>
          <w:szCs w:val="24"/>
        </w:rPr>
        <w:t>Bureau’s</w:t>
      </w:r>
      <w:r>
        <w:rPr>
          <w:rFonts w:ascii="Times New Roman" w:hAnsi="Times New Roman" w:cs="Times New Roman"/>
          <w:b/>
          <w:sz w:val="24"/>
          <w:szCs w:val="24"/>
        </w:rPr>
        <w:t xml:space="preserve"> </w:t>
      </w:r>
      <w:r w:rsidRPr="005B61C2">
        <w:rPr>
          <w:rFonts w:ascii="Times New Roman" w:hAnsi="Times New Roman" w:cs="Times New Roman"/>
          <w:sz w:val="24"/>
          <w:szCs w:val="24"/>
        </w:rPr>
        <w:t>application programming interface lets developers create custom apps to reach new users and makes key demographic, socio-economic and housing statistics more accessible than ever before.</w:t>
      </w:r>
    </w:p>
    <w:p w14:paraId="21F91503" w14:textId="66219112" w:rsidR="008E498C" w:rsidRDefault="00536E8B" w:rsidP="008E498C">
      <w:pPr>
        <w:spacing w:after="120"/>
        <w:ind w:left="-360"/>
        <w:rPr>
          <w:rFonts w:ascii="Times New Roman" w:hAnsi="Times New Roman" w:cs="Times New Roman"/>
          <w:sz w:val="24"/>
          <w:szCs w:val="24"/>
        </w:rPr>
      </w:pPr>
      <w:hyperlink r:id="rId31" w:history="1">
        <w:r w:rsidR="00677828" w:rsidRPr="009D70CB">
          <w:rPr>
            <w:rFonts w:ascii="Times New Roman" w:hAnsi="Times New Roman" w:cs="Times New Roman"/>
            <w:sz w:val="24"/>
            <w:szCs w:val="24"/>
          </w:rPr>
          <w:t>&lt;</w:t>
        </w:r>
        <w:r w:rsidR="008E498C" w:rsidRPr="005B61C2">
          <w:rPr>
            <w:rFonts w:ascii="Times New Roman" w:hAnsi="Times New Roman" w:cs="Times New Roman"/>
            <w:color w:val="0000FF" w:themeColor="hyperlink"/>
            <w:sz w:val="24"/>
            <w:szCs w:val="24"/>
            <w:u w:val="single"/>
          </w:rPr>
          <w:t>www.census.gov/developers/</w:t>
        </w:r>
      </w:hyperlink>
      <w:r w:rsidR="00677828" w:rsidRPr="009D70CB">
        <w:rPr>
          <w:rFonts w:ascii="Times New Roman" w:hAnsi="Times New Roman" w:cs="Times New Roman"/>
          <w:sz w:val="24"/>
          <w:szCs w:val="24"/>
        </w:rPr>
        <w:t>&gt;</w:t>
      </w:r>
    </w:p>
    <w:p w14:paraId="5891A2C3" w14:textId="77777777" w:rsidR="00C627A5" w:rsidRDefault="00C627A5" w:rsidP="00C627A5">
      <w:pPr>
        <w:tabs>
          <w:tab w:val="left" w:pos="-180"/>
        </w:tabs>
        <w:ind w:left="-173" w:hanging="187"/>
        <w:jc w:val="center"/>
        <w:rPr>
          <w:rFonts w:cs="Times New Roman"/>
          <w:sz w:val="24"/>
          <w:szCs w:val="24"/>
        </w:rPr>
      </w:pPr>
      <w:r w:rsidRPr="00666964">
        <w:rPr>
          <w:rFonts w:cs="Times New Roman"/>
          <w:sz w:val="24"/>
          <w:szCs w:val="24"/>
        </w:rPr>
        <w:t>-X-</w:t>
      </w:r>
    </w:p>
    <w:p w14:paraId="7AB6E4BF" w14:textId="36795726" w:rsidR="00AF29B5" w:rsidRDefault="00AF29B5" w:rsidP="00AF29B5">
      <w:pPr>
        <w:ind w:left="-360"/>
        <w:rPr>
          <w:rFonts w:ascii="Times New Roman" w:hAnsi="Times New Roman" w:cs="Times New Roman"/>
          <w:b/>
          <w:sz w:val="16"/>
          <w:szCs w:val="16"/>
        </w:rPr>
      </w:pPr>
      <w:r w:rsidRPr="009A55DF">
        <w:rPr>
          <w:rFonts w:ascii="Times New Roman" w:hAnsi="Times New Roman" w:cs="Times New Roman"/>
          <w:b/>
          <w:sz w:val="16"/>
          <w:szCs w:val="16"/>
        </w:rPr>
        <w:t>* The 90 percent confidence interval includes zero</w:t>
      </w:r>
      <w:r w:rsidR="00EF738A">
        <w:rPr>
          <w:rFonts w:ascii="Times New Roman" w:hAnsi="Times New Roman" w:cs="Times New Roman"/>
          <w:b/>
          <w:sz w:val="16"/>
          <w:szCs w:val="16"/>
        </w:rPr>
        <w:t>.</w:t>
      </w:r>
      <w:r w:rsidR="00EF738A" w:rsidRPr="00EF738A">
        <w:t xml:space="preserve"> </w:t>
      </w:r>
      <w:r w:rsidR="00EF738A" w:rsidRPr="00EF738A">
        <w:rPr>
          <w:rFonts w:ascii="Times New Roman" w:hAnsi="Times New Roman" w:cs="Times New Roman"/>
          <w:b/>
          <w:sz w:val="16"/>
          <w:szCs w:val="16"/>
        </w:rPr>
        <w:t>There is insufficient evidence to conclude that the actual change is different from zero</w:t>
      </w:r>
      <w:r w:rsidR="00EF738A">
        <w:rPr>
          <w:rFonts w:ascii="Times New Roman" w:hAnsi="Times New Roman" w:cs="Times New Roman"/>
          <w:b/>
          <w:sz w:val="16"/>
          <w:szCs w:val="16"/>
        </w:rPr>
        <w:t>.</w:t>
      </w:r>
    </w:p>
    <w:p w14:paraId="55727948" w14:textId="77777777" w:rsidR="00AF29B5" w:rsidRDefault="00AF29B5" w:rsidP="00AF29B5">
      <w:pPr>
        <w:ind w:left="-360"/>
        <w:rPr>
          <w:rFonts w:ascii="Times New Roman" w:hAnsi="Times New Roman" w:cs="Times New Roman"/>
          <w:b/>
          <w:sz w:val="16"/>
          <w:szCs w:val="16"/>
        </w:rPr>
      </w:pPr>
      <w:r w:rsidRPr="00CC351A">
        <w:rPr>
          <w:rFonts w:ascii="Times New Roman" w:hAnsi="Times New Roman" w:cs="Times New Roman"/>
          <w:b/>
          <w:sz w:val="16"/>
          <w:szCs w:val="16"/>
        </w:rPr>
        <w:t>°</w:t>
      </w:r>
      <w:r>
        <w:rPr>
          <w:rFonts w:ascii="Times New Roman" w:hAnsi="Times New Roman" w:cs="Times New Roman"/>
          <w:b/>
          <w:sz w:val="16"/>
          <w:szCs w:val="16"/>
        </w:rPr>
        <w:t xml:space="preserve"> </w:t>
      </w:r>
      <w:r w:rsidRPr="00CC351A">
        <w:rPr>
          <w:rFonts w:ascii="Times New Roman" w:hAnsi="Times New Roman" w:cs="Times New Roman"/>
          <w:b/>
          <w:sz w:val="16"/>
          <w:szCs w:val="16"/>
        </w:rPr>
        <w:t>Statistical significance is not applicable or not measurable for this survey.</w:t>
      </w:r>
    </w:p>
    <w:p w14:paraId="23A3AFC7" w14:textId="6B212F27" w:rsidR="00AF29B5" w:rsidRDefault="00740856" w:rsidP="00AF29B5">
      <w:pPr>
        <w:ind w:left="-360"/>
        <w:rPr>
          <w:rFonts w:ascii="Times New Roman" w:hAnsi="Times New Roman" w:cs="Times New Roman"/>
          <w:b/>
          <w:sz w:val="16"/>
          <w:szCs w:val="16"/>
        </w:rPr>
      </w:pPr>
      <w:r w:rsidRPr="00CF703E">
        <w:rPr>
          <w:rFonts w:ascii="Times New Roman" w:hAnsi="Times New Roman" w:cs="Times New Roman"/>
          <w:b/>
          <w:sz w:val="16"/>
          <w:szCs w:val="16"/>
        </w:rPr>
        <w:t>(R) Revised from</w:t>
      </w:r>
      <w:r w:rsidR="008F574E" w:rsidRPr="00CF703E">
        <w:rPr>
          <w:rFonts w:ascii="Times New Roman" w:hAnsi="Times New Roman" w:cs="Times New Roman"/>
          <w:b/>
          <w:sz w:val="16"/>
          <w:szCs w:val="16"/>
        </w:rPr>
        <w:t xml:space="preserve"> the last published Monthly Retail Trade Report and Monthly Wholesale Trade: Sales and Inventories Report</w:t>
      </w:r>
    </w:p>
    <w:sectPr w:rsidR="00AF29B5" w:rsidSect="005A7303">
      <w:headerReference w:type="default" r:id="rId32"/>
      <w:type w:val="continuous"/>
      <w:pgSz w:w="12240" w:h="15840"/>
      <w:pgMar w:top="1440" w:right="1080" w:bottom="547"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5DE6E" w14:textId="77777777" w:rsidR="00FE2172" w:rsidRDefault="00FE2172" w:rsidP="0023449C">
      <w:pPr>
        <w:spacing w:after="0" w:line="240" w:lineRule="auto"/>
      </w:pPr>
      <w:r>
        <w:separator/>
      </w:r>
    </w:p>
  </w:endnote>
  <w:endnote w:type="continuationSeparator" w:id="0">
    <w:p w14:paraId="1A125DE0" w14:textId="77777777" w:rsidR="00FE2172" w:rsidRDefault="00FE2172" w:rsidP="00234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5F9D4" w14:textId="77777777" w:rsidR="00FE2172" w:rsidRDefault="00FE2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2"/>
      <w:gridCol w:w="3028"/>
    </w:tblGrid>
    <w:tr w:rsidR="00FE2172" w:rsidRPr="00C551C0" w14:paraId="464C9CFF" w14:textId="77777777" w:rsidTr="006D715D">
      <w:trPr>
        <w:jc w:val="center"/>
      </w:trPr>
      <w:tc>
        <w:tcPr>
          <w:tcW w:w="3598" w:type="pct"/>
        </w:tcPr>
        <w:p w14:paraId="6AB35F68" w14:textId="77777777" w:rsidR="00FE2172" w:rsidRPr="00463140" w:rsidRDefault="00FE2172" w:rsidP="00EA406A">
          <w:pPr>
            <w:rPr>
              <w:rFonts w:cs="Times New Roman"/>
              <w:b/>
              <w:sz w:val="18"/>
              <w:szCs w:val="18"/>
            </w:rPr>
          </w:pPr>
        </w:p>
      </w:tc>
      <w:tc>
        <w:tcPr>
          <w:tcW w:w="1402" w:type="pct"/>
          <w:vAlign w:val="bottom"/>
        </w:tcPr>
        <w:p w14:paraId="7E600FD7" w14:textId="77777777" w:rsidR="00FE2172" w:rsidRPr="00C551C0" w:rsidRDefault="00FE2172" w:rsidP="001F211F">
          <w:pPr>
            <w:jc w:val="right"/>
            <w:rPr>
              <w:rFonts w:cs="Times New Roman"/>
              <w:b/>
              <w:sz w:val="18"/>
              <w:szCs w:val="18"/>
            </w:rPr>
          </w:pPr>
        </w:p>
      </w:tc>
    </w:tr>
    <w:tr w:rsidR="00FE2172" w:rsidRPr="00C551C0" w14:paraId="27125277" w14:textId="77777777" w:rsidTr="006D715D">
      <w:trPr>
        <w:jc w:val="center"/>
      </w:trPr>
      <w:tc>
        <w:tcPr>
          <w:tcW w:w="3598" w:type="pct"/>
        </w:tcPr>
        <w:p w14:paraId="57767C8C" w14:textId="4EF6C734" w:rsidR="00FE2172" w:rsidRPr="00463140" w:rsidRDefault="00FE2172" w:rsidP="00EA406A">
          <w:pPr>
            <w:rPr>
              <w:rFonts w:cs="Times New Roman"/>
              <w:b/>
              <w:sz w:val="18"/>
              <w:szCs w:val="18"/>
            </w:rPr>
          </w:pPr>
          <w:r w:rsidRPr="00463140">
            <w:rPr>
              <w:rFonts w:cs="Times New Roman"/>
              <w:b/>
              <w:sz w:val="18"/>
              <w:szCs w:val="18"/>
            </w:rPr>
            <w:t>Data Inquiries</w:t>
          </w:r>
        </w:p>
      </w:tc>
      <w:tc>
        <w:tcPr>
          <w:tcW w:w="1402" w:type="pct"/>
          <w:vAlign w:val="bottom"/>
        </w:tcPr>
        <w:p w14:paraId="7794EB43" w14:textId="1E070F68" w:rsidR="00FE2172" w:rsidRPr="00C551C0" w:rsidRDefault="00FE2172" w:rsidP="001F211F">
          <w:pPr>
            <w:jc w:val="right"/>
            <w:rPr>
              <w:rFonts w:cs="Times New Roman"/>
              <w:b/>
              <w:sz w:val="18"/>
              <w:szCs w:val="18"/>
            </w:rPr>
          </w:pPr>
          <w:r w:rsidRPr="00C551C0">
            <w:rPr>
              <w:rFonts w:cs="Times New Roman"/>
              <w:b/>
              <w:sz w:val="18"/>
              <w:szCs w:val="18"/>
            </w:rPr>
            <w:t>Media Inquiries</w:t>
          </w:r>
        </w:p>
      </w:tc>
    </w:tr>
    <w:tr w:rsidR="00FE2172" w:rsidRPr="00E578D1" w14:paraId="7404CEC0" w14:textId="77777777" w:rsidTr="006D715D">
      <w:trPr>
        <w:jc w:val="center"/>
      </w:trPr>
      <w:tc>
        <w:tcPr>
          <w:tcW w:w="3598" w:type="pct"/>
        </w:tcPr>
        <w:p w14:paraId="04F27314" w14:textId="7638B5B2" w:rsidR="00FE2172" w:rsidRPr="00120BBD" w:rsidRDefault="00FE2172" w:rsidP="00CE1831">
          <w:pPr>
            <w:rPr>
              <w:sz w:val="18"/>
              <w:szCs w:val="18"/>
            </w:rPr>
          </w:pPr>
          <w:r>
            <w:rPr>
              <w:rFonts w:cs="Times New Roman"/>
              <w:sz w:val="18"/>
              <w:szCs w:val="18"/>
            </w:rPr>
            <w:t xml:space="preserve">International Trade Indicator Branch:  301-763-2311 </w:t>
          </w:r>
          <w:r w:rsidRPr="00882BC0">
            <w:rPr>
              <w:rFonts w:cs="Times New Roman"/>
              <w:sz w:val="18"/>
              <w:szCs w:val="18"/>
            </w:rPr>
            <w:t xml:space="preserve"> </w:t>
          </w:r>
          <w:hyperlink r:id="rId1" w:history="1">
            <w:r w:rsidRPr="00882BC0">
              <w:rPr>
                <w:rStyle w:val="Hyperlink"/>
                <w:sz w:val="18"/>
                <w:szCs w:val="18"/>
                <w:u w:val="none"/>
              </w:rPr>
              <w:t>eid.international.trade.data@census.gov</w:t>
            </w:r>
          </w:hyperlink>
        </w:p>
      </w:tc>
      <w:tc>
        <w:tcPr>
          <w:tcW w:w="1402" w:type="pct"/>
          <w:vAlign w:val="bottom"/>
        </w:tcPr>
        <w:p w14:paraId="6435838E" w14:textId="4BF19356" w:rsidR="00FE2172" w:rsidRPr="00E578D1" w:rsidRDefault="00FE2172" w:rsidP="001F211F">
          <w:pPr>
            <w:jc w:val="right"/>
            <w:rPr>
              <w:sz w:val="18"/>
              <w:szCs w:val="18"/>
            </w:rPr>
          </w:pPr>
          <w:r>
            <w:rPr>
              <w:rFonts w:cs="Times New Roman"/>
              <w:sz w:val="18"/>
              <w:szCs w:val="18"/>
            </w:rPr>
            <w:t>Public Information Office</w:t>
          </w:r>
        </w:p>
      </w:tc>
    </w:tr>
    <w:tr w:rsidR="00FE2172" w:rsidRPr="00E578D1" w14:paraId="3F065A3B" w14:textId="77777777" w:rsidTr="006D715D">
      <w:trPr>
        <w:jc w:val="center"/>
      </w:trPr>
      <w:tc>
        <w:tcPr>
          <w:tcW w:w="3598" w:type="pct"/>
        </w:tcPr>
        <w:p w14:paraId="777C98BA" w14:textId="5079B4C0" w:rsidR="00FE2172" w:rsidRPr="00120BBD" w:rsidRDefault="00FE2172" w:rsidP="00CE1831">
          <w:pPr>
            <w:rPr>
              <w:sz w:val="18"/>
              <w:szCs w:val="18"/>
            </w:rPr>
          </w:pPr>
          <w:r>
            <w:rPr>
              <w:rFonts w:cs="Times New Roman"/>
              <w:sz w:val="18"/>
              <w:szCs w:val="18"/>
            </w:rPr>
            <w:t xml:space="preserve">Retail Indicator Branch:   301-763-2713  </w:t>
          </w:r>
          <w:hyperlink r:id="rId2" w:history="1">
            <w:r w:rsidRPr="0022084B">
              <w:rPr>
                <w:rStyle w:val="Hyperlink"/>
                <w:sz w:val="18"/>
                <w:szCs w:val="18"/>
                <w:u w:val="none"/>
              </w:rPr>
              <w:t>eid.retail.indicator.branch@census.gov</w:t>
            </w:r>
          </w:hyperlink>
        </w:p>
      </w:tc>
      <w:tc>
        <w:tcPr>
          <w:tcW w:w="1402" w:type="pct"/>
          <w:vAlign w:val="bottom"/>
        </w:tcPr>
        <w:p w14:paraId="01FC16E1" w14:textId="187DB161" w:rsidR="00FE2172" w:rsidRPr="00E578D1" w:rsidRDefault="00FE2172" w:rsidP="001F211F">
          <w:pPr>
            <w:jc w:val="right"/>
            <w:rPr>
              <w:rFonts w:cs="Times New Roman"/>
              <w:smallCaps/>
              <w:sz w:val="18"/>
              <w:szCs w:val="18"/>
            </w:rPr>
          </w:pPr>
          <w:r>
            <w:rPr>
              <w:rFonts w:cs="Times New Roman"/>
              <w:sz w:val="18"/>
              <w:szCs w:val="18"/>
            </w:rPr>
            <w:t>301-763-3030</w:t>
          </w:r>
        </w:p>
      </w:tc>
    </w:tr>
    <w:tr w:rsidR="00FE2172" w14:paraId="240E1050" w14:textId="77777777" w:rsidTr="006D715D">
      <w:trPr>
        <w:jc w:val="center"/>
      </w:trPr>
      <w:tc>
        <w:tcPr>
          <w:tcW w:w="3598" w:type="pct"/>
        </w:tcPr>
        <w:p w14:paraId="1A59C4A9" w14:textId="681813C5" w:rsidR="00FE2172" w:rsidRPr="0022084B" w:rsidRDefault="00FE2172" w:rsidP="00120BBD">
          <w:pPr>
            <w:rPr>
              <w:rFonts w:cs="Times New Roman"/>
              <w:sz w:val="18"/>
              <w:szCs w:val="18"/>
            </w:rPr>
          </w:pPr>
          <w:r>
            <w:rPr>
              <w:rFonts w:cs="Times New Roman"/>
              <w:sz w:val="18"/>
              <w:szCs w:val="18"/>
            </w:rPr>
            <w:t xml:space="preserve">Wholesale Indicator Branch:   301-763-6856  </w:t>
          </w:r>
          <w:hyperlink r:id="rId3" w:history="1">
            <w:r w:rsidRPr="0022084B">
              <w:rPr>
                <w:rStyle w:val="Hyperlink"/>
                <w:rFonts w:cs="Times New Roman"/>
                <w:sz w:val="18"/>
                <w:szCs w:val="18"/>
                <w:u w:val="none"/>
              </w:rPr>
              <w:t>eid.wholesale.indicator.branch@census.gov</w:t>
            </w:r>
          </w:hyperlink>
        </w:p>
        <w:p w14:paraId="799120ED" w14:textId="653E7D40" w:rsidR="00FE2172" w:rsidRDefault="00FE2172" w:rsidP="00C352D6">
          <w:pPr>
            <w:rPr>
              <w:rFonts w:cs="Times New Roman"/>
              <w:sz w:val="18"/>
              <w:szCs w:val="18"/>
            </w:rPr>
          </w:pPr>
        </w:p>
      </w:tc>
      <w:tc>
        <w:tcPr>
          <w:tcW w:w="1402" w:type="pct"/>
        </w:tcPr>
        <w:p w14:paraId="4FA9116B" w14:textId="7237A501" w:rsidR="00FE2172" w:rsidRDefault="00536E8B" w:rsidP="001F211F">
          <w:pPr>
            <w:jc w:val="right"/>
          </w:pPr>
          <w:hyperlink r:id="rId4" w:history="1">
            <w:r w:rsidR="00FE2172">
              <w:rPr>
                <w:rStyle w:val="Hyperlink"/>
                <w:rFonts w:cs="Times New Roman"/>
                <w:sz w:val="18"/>
                <w:szCs w:val="18"/>
                <w:u w:val="none"/>
              </w:rPr>
              <w:t>pio@census.gov</w:t>
            </w:r>
          </w:hyperlink>
        </w:p>
      </w:tc>
    </w:tr>
    <w:tr w:rsidR="00FE2172" w:rsidRPr="00C551C0" w14:paraId="1C1E3BC8" w14:textId="77777777" w:rsidTr="006D715D">
      <w:trPr>
        <w:jc w:val="center"/>
      </w:trPr>
      <w:tc>
        <w:tcPr>
          <w:tcW w:w="3598" w:type="pct"/>
        </w:tcPr>
        <w:p w14:paraId="4A9489C1" w14:textId="77777777" w:rsidR="00FE2172" w:rsidRDefault="00FE2172" w:rsidP="001F211F">
          <w:pPr>
            <w:rPr>
              <w:rFonts w:cs="Times New Roman"/>
              <w:sz w:val="18"/>
              <w:szCs w:val="18"/>
            </w:rPr>
          </w:pPr>
          <w:r>
            <w:rPr>
              <w:noProof/>
            </w:rPr>
            <w:drawing>
              <wp:inline distT="0" distB="0" distL="0" distR="0" wp14:anchorId="4EE8173C" wp14:editId="38D03FC0">
                <wp:extent cx="2909320" cy="4191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09320" cy="419100"/>
                        </a:xfrm>
                        <a:prstGeom prst="rect">
                          <a:avLst/>
                        </a:prstGeom>
                      </pic:spPr>
                    </pic:pic>
                  </a:graphicData>
                </a:graphic>
              </wp:inline>
            </w:drawing>
          </w:r>
        </w:p>
      </w:tc>
      <w:tc>
        <w:tcPr>
          <w:tcW w:w="1402" w:type="pct"/>
        </w:tcPr>
        <w:p w14:paraId="3F758FE6" w14:textId="7152A0ED" w:rsidR="00FE2172" w:rsidRPr="000E3C66" w:rsidRDefault="00FE2172" w:rsidP="000E3C66">
          <w:pPr>
            <w:rPr>
              <w:b/>
              <w:i/>
              <w:sz w:val="18"/>
              <w:szCs w:val="18"/>
            </w:rPr>
          </w:pPr>
        </w:p>
      </w:tc>
    </w:tr>
  </w:tbl>
  <w:p w14:paraId="55A382D8" w14:textId="77777777" w:rsidR="00FE2172" w:rsidRDefault="00FE2172" w:rsidP="00B332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924F5" w14:textId="77777777" w:rsidR="00FE2172" w:rsidRDefault="00FE2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58997" w14:textId="77777777" w:rsidR="00FE2172" w:rsidRDefault="00FE2172" w:rsidP="0023449C">
      <w:pPr>
        <w:spacing w:after="0" w:line="240" w:lineRule="auto"/>
      </w:pPr>
      <w:r>
        <w:separator/>
      </w:r>
    </w:p>
  </w:footnote>
  <w:footnote w:type="continuationSeparator" w:id="0">
    <w:p w14:paraId="5A102B89" w14:textId="77777777" w:rsidR="00FE2172" w:rsidRDefault="00FE2172" w:rsidP="00234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B4717" w14:textId="77777777" w:rsidR="00FE2172" w:rsidRDefault="00FE2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0D753" w14:textId="77777777" w:rsidR="00FE2172" w:rsidRDefault="00FE21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33E7A" w14:textId="77777777" w:rsidR="00FE2172" w:rsidRDefault="00FE21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68F41" w14:textId="76C2C1FF" w:rsidR="00FE2172" w:rsidRPr="005A7303" w:rsidRDefault="00FE2172" w:rsidP="005A73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47D00"/>
    <w:multiLevelType w:val="hybridMultilevel"/>
    <w:tmpl w:val="65AE4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435847"/>
    <w:multiLevelType w:val="hybridMultilevel"/>
    <w:tmpl w:val="0E841E06"/>
    <w:lvl w:ilvl="0" w:tplc="3156246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6C6C31"/>
    <w:multiLevelType w:val="hybridMultilevel"/>
    <w:tmpl w:val="A9824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077f6d38-6da0-493c-8c2a-30136b99d7de"/>
  </w:docVars>
  <w:rsids>
    <w:rsidRoot w:val="00DA5A25"/>
    <w:rsid w:val="0000159A"/>
    <w:rsid w:val="00001F48"/>
    <w:rsid w:val="00003BE9"/>
    <w:rsid w:val="00005371"/>
    <w:rsid w:val="000062F5"/>
    <w:rsid w:val="000065B4"/>
    <w:rsid w:val="00006D15"/>
    <w:rsid w:val="000136C3"/>
    <w:rsid w:val="00013842"/>
    <w:rsid w:val="0001653D"/>
    <w:rsid w:val="0002062C"/>
    <w:rsid w:val="00020E47"/>
    <w:rsid w:val="00025B48"/>
    <w:rsid w:val="000269B6"/>
    <w:rsid w:val="00026C37"/>
    <w:rsid w:val="00027715"/>
    <w:rsid w:val="00027E64"/>
    <w:rsid w:val="00036F8C"/>
    <w:rsid w:val="00037355"/>
    <w:rsid w:val="0004197F"/>
    <w:rsid w:val="00042C67"/>
    <w:rsid w:val="00046797"/>
    <w:rsid w:val="00052425"/>
    <w:rsid w:val="00053B6C"/>
    <w:rsid w:val="00054CE9"/>
    <w:rsid w:val="000632AF"/>
    <w:rsid w:val="0006518E"/>
    <w:rsid w:val="000652A6"/>
    <w:rsid w:val="00065DC8"/>
    <w:rsid w:val="00067F3E"/>
    <w:rsid w:val="0007066F"/>
    <w:rsid w:val="00071CE7"/>
    <w:rsid w:val="000720EF"/>
    <w:rsid w:val="00074C37"/>
    <w:rsid w:val="000750A9"/>
    <w:rsid w:val="00075659"/>
    <w:rsid w:val="000769B4"/>
    <w:rsid w:val="00077ED7"/>
    <w:rsid w:val="0008176D"/>
    <w:rsid w:val="000820B7"/>
    <w:rsid w:val="00082814"/>
    <w:rsid w:val="00085A1D"/>
    <w:rsid w:val="00091C02"/>
    <w:rsid w:val="000920D4"/>
    <w:rsid w:val="000922FD"/>
    <w:rsid w:val="000946FE"/>
    <w:rsid w:val="000952FC"/>
    <w:rsid w:val="000A70DF"/>
    <w:rsid w:val="000A75E2"/>
    <w:rsid w:val="000B2065"/>
    <w:rsid w:val="000B5EF7"/>
    <w:rsid w:val="000C0B5C"/>
    <w:rsid w:val="000D0FC8"/>
    <w:rsid w:val="000D2499"/>
    <w:rsid w:val="000D6495"/>
    <w:rsid w:val="000E3C66"/>
    <w:rsid w:val="000E7B18"/>
    <w:rsid w:val="000E7B89"/>
    <w:rsid w:val="000F4455"/>
    <w:rsid w:val="000F458E"/>
    <w:rsid w:val="000F5B0D"/>
    <w:rsid w:val="000F7197"/>
    <w:rsid w:val="000F7ABD"/>
    <w:rsid w:val="000F7DD9"/>
    <w:rsid w:val="001015B4"/>
    <w:rsid w:val="001037EC"/>
    <w:rsid w:val="001057E6"/>
    <w:rsid w:val="001060BA"/>
    <w:rsid w:val="0010680E"/>
    <w:rsid w:val="00112653"/>
    <w:rsid w:val="00112785"/>
    <w:rsid w:val="00112D0A"/>
    <w:rsid w:val="00113770"/>
    <w:rsid w:val="00115B8C"/>
    <w:rsid w:val="00120BBD"/>
    <w:rsid w:val="001231C5"/>
    <w:rsid w:val="0012523D"/>
    <w:rsid w:val="001313CF"/>
    <w:rsid w:val="00132F5D"/>
    <w:rsid w:val="001343B3"/>
    <w:rsid w:val="00135CE8"/>
    <w:rsid w:val="00135FB8"/>
    <w:rsid w:val="00142A18"/>
    <w:rsid w:val="001449EE"/>
    <w:rsid w:val="0014634D"/>
    <w:rsid w:val="00146F56"/>
    <w:rsid w:val="001519A5"/>
    <w:rsid w:val="001540E2"/>
    <w:rsid w:val="00155248"/>
    <w:rsid w:val="00155EC5"/>
    <w:rsid w:val="001630BD"/>
    <w:rsid w:val="00170052"/>
    <w:rsid w:val="0017545F"/>
    <w:rsid w:val="00176807"/>
    <w:rsid w:val="00177FEC"/>
    <w:rsid w:val="00181556"/>
    <w:rsid w:val="001825AD"/>
    <w:rsid w:val="001875CC"/>
    <w:rsid w:val="001944D0"/>
    <w:rsid w:val="00196D7B"/>
    <w:rsid w:val="00197FBF"/>
    <w:rsid w:val="001A0937"/>
    <w:rsid w:val="001A179D"/>
    <w:rsid w:val="001A55F3"/>
    <w:rsid w:val="001B521D"/>
    <w:rsid w:val="001C2060"/>
    <w:rsid w:val="001C701D"/>
    <w:rsid w:val="001D09C5"/>
    <w:rsid w:val="001D481E"/>
    <w:rsid w:val="001D61E3"/>
    <w:rsid w:val="001D7DD9"/>
    <w:rsid w:val="001E1CAF"/>
    <w:rsid w:val="001E27C0"/>
    <w:rsid w:val="001E3268"/>
    <w:rsid w:val="001E3BFD"/>
    <w:rsid w:val="001E3F5B"/>
    <w:rsid w:val="001E40C3"/>
    <w:rsid w:val="001E4455"/>
    <w:rsid w:val="001E5DFB"/>
    <w:rsid w:val="001E737D"/>
    <w:rsid w:val="001F1AA8"/>
    <w:rsid w:val="001F211F"/>
    <w:rsid w:val="001F2DB9"/>
    <w:rsid w:val="001F4392"/>
    <w:rsid w:val="00200E89"/>
    <w:rsid w:val="0020586E"/>
    <w:rsid w:val="00207AD9"/>
    <w:rsid w:val="00207EA3"/>
    <w:rsid w:val="00210E93"/>
    <w:rsid w:val="00214AB1"/>
    <w:rsid w:val="002153CE"/>
    <w:rsid w:val="0022081B"/>
    <w:rsid w:val="0022084B"/>
    <w:rsid w:val="00224393"/>
    <w:rsid w:val="0023365E"/>
    <w:rsid w:val="0023449C"/>
    <w:rsid w:val="00234A17"/>
    <w:rsid w:val="00234C76"/>
    <w:rsid w:val="00234F4A"/>
    <w:rsid w:val="00235418"/>
    <w:rsid w:val="00243E98"/>
    <w:rsid w:val="00244D39"/>
    <w:rsid w:val="00253F61"/>
    <w:rsid w:val="00255B59"/>
    <w:rsid w:val="00262F2A"/>
    <w:rsid w:val="002639E3"/>
    <w:rsid w:val="002720EB"/>
    <w:rsid w:val="00275723"/>
    <w:rsid w:val="00277889"/>
    <w:rsid w:val="00281A51"/>
    <w:rsid w:val="00281C92"/>
    <w:rsid w:val="0028409D"/>
    <w:rsid w:val="00286A5C"/>
    <w:rsid w:val="00287345"/>
    <w:rsid w:val="00290C8F"/>
    <w:rsid w:val="00294D28"/>
    <w:rsid w:val="002953CE"/>
    <w:rsid w:val="00295D54"/>
    <w:rsid w:val="00296E81"/>
    <w:rsid w:val="002A0C89"/>
    <w:rsid w:val="002A10E2"/>
    <w:rsid w:val="002A57D8"/>
    <w:rsid w:val="002A5EB6"/>
    <w:rsid w:val="002A6402"/>
    <w:rsid w:val="002B0B0C"/>
    <w:rsid w:val="002B0E70"/>
    <w:rsid w:val="002B2744"/>
    <w:rsid w:val="002B2BFA"/>
    <w:rsid w:val="002B3234"/>
    <w:rsid w:val="002B3BDA"/>
    <w:rsid w:val="002B3DDF"/>
    <w:rsid w:val="002B58F1"/>
    <w:rsid w:val="002B7381"/>
    <w:rsid w:val="002B7FF9"/>
    <w:rsid w:val="002C0A5D"/>
    <w:rsid w:val="002C1003"/>
    <w:rsid w:val="002C1ACE"/>
    <w:rsid w:val="002C4ABA"/>
    <w:rsid w:val="002C718E"/>
    <w:rsid w:val="002D14E8"/>
    <w:rsid w:val="002D243A"/>
    <w:rsid w:val="002D6F4C"/>
    <w:rsid w:val="002E4A4D"/>
    <w:rsid w:val="002E7410"/>
    <w:rsid w:val="002F2D51"/>
    <w:rsid w:val="002F54D2"/>
    <w:rsid w:val="00300B4F"/>
    <w:rsid w:val="00302D5C"/>
    <w:rsid w:val="00303DCE"/>
    <w:rsid w:val="00304B49"/>
    <w:rsid w:val="003058B0"/>
    <w:rsid w:val="00313161"/>
    <w:rsid w:val="00313E2A"/>
    <w:rsid w:val="003155EA"/>
    <w:rsid w:val="003164B0"/>
    <w:rsid w:val="00317F7E"/>
    <w:rsid w:val="003215E5"/>
    <w:rsid w:val="00321C26"/>
    <w:rsid w:val="00322A2E"/>
    <w:rsid w:val="00325960"/>
    <w:rsid w:val="00327E2D"/>
    <w:rsid w:val="003330F7"/>
    <w:rsid w:val="0033379E"/>
    <w:rsid w:val="00333D54"/>
    <w:rsid w:val="00334519"/>
    <w:rsid w:val="00341BE8"/>
    <w:rsid w:val="0034618F"/>
    <w:rsid w:val="003507EF"/>
    <w:rsid w:val="00350EC5"/>
    <w:rsid w:val="003511E0"/>
    <w:rsid w:val="00356B5A"/>
    <w:rsid w:val="003578F8"/>
    <w:rsid w:val="00362173"/>
    <w:rsid w:val="00362C0D"/>
    <w:rsid w:val="0036554D"/>
    <w:rsid w:val="003737C1"/>
    <w:rsid w:val="00373DD0"/>
    <w:rsid w:val="0037401E"/>
    <w:rsid w:val="00374096"/>
    <w:rsid w:val="003761BC"/>
    <w:rsid w:val="003768DE"/>
    <w:rsid w:val="00381D0C"/>
    <w:rsid w:val="00382192"/>
    <w:rsid w:val="003846D6"/>
    <w:rsid w:val="0038507E"/>
    <w:rsid w:val="00386F07"/>
    <w:rsid w:val="00390626"/>
    <w:rsid w:val="00395F9B"/>
    <w:rsid w:val="00396D7D"/>
    <w:rsid w:val="003A2509"/>
    <w:rsid w:val="003A5EB0"/>
    <w:rsid w:val="003B01EC"/>
    <w:rsid w:val="003B332F"/>
    <w:rsid w:val="003B47B2"/>
    <w:rsid w:val="003B5209"/>
    <w:rsid w:val="003B7E1B"/>
    <w:rsid w:val="003C01C3"/>
    <w:rsid w:val="003C0E2B"/>
    <w:rsid w:val="003C3449"/>
    <w:rsid w:val="003C521A"/>
    <w:rsid w:val="003D1FE3"/>
    <w:rsid w:val="003E3755"/>
    <w:rsid w:val="003E3A9D"/>
    <w:rsid w:val="003E7660"/>
    <w:rsid w:val="003E788B"/>
    <w:rsid w:val="003F1BC3"/>
    <w:rsid w:val="003F1E1E"/>
    <w:rsid w:val="003F4E28"/>
    <w:rsid w:val="003F579B"/>
    <w:rsid w:val="003F6703"/>
    <w:rsid w:val="003F6CAB"/>
    <w:rsid w:val="00401DC7"/>
    <w:rsid w:val="004024CD"/>
    <w:rsid w:val="00402C28"/>
    <w:rsid w:val="00403ACA"/>
    <w:rsid w:val="00404C2B"/>
    <w:rsid w:val="00411614"/>
    <w:rsid w:val="00412F4D"/>
    <w:rsid w:val="00417F94"/>
    <w:rsid w:val="0042209A"/>
    <w:rsid w:val="00424C8D"/>
    <w:rsid w:val="00427D01"/>
    <w:rsid w:val="00427DC4"/>
    <w:rsid w:val="00430C0B"/>
    <w:rsid w:val="00440117"/>
    <w:rsid w:val="00442E65"/>
    <w:rsid w:val="00445425"/>
    <w:rsid w:val="00455025"/>
    <w:rsid w:val="00462589"/>
    <w:rsid w:val="00462927"/>
    <w:rsid w:val="004639C7"/>
    <w:rsid w:val="0046421B"/>
    <w:rsid w:val="00466A2B"/>
    <w:rsid w:val="004707F2"/>
    <w:rsid w:val="0047475D"/>
    <w:rsid w:val="00474ED7"/>
    <w:rsid w:val="00476D2F"/>
    <w:rsid w:val="00481662"/>
    <w:rsid w:val="00485422"/>
    <w:rsid w:val="00485FE8"/>
    <w:rsid w:val="004906A1"/>
    <w:rsid w:val="004919A4"/>
    <w:rsid w:val="004A009B"/>
    <w:rsid w:val="004A2AFA"/>
    <w:rsid w:val="004A31D5"/>
    <w:rsid w:val="004A4283"/>
    <w:rsid w:val="004A4A5A"/>
    <w:rsid w:val="004A63C3"/>
    <w:rsid w:val="004A7B9D"/>
    <w:rsid w:val="004B0715"/>
    <w:rsid w:val="004B61F1"/>
    <w:rsid w:val="004B7139"/>
    <w:rsid w:val="004B7E1E"/>
    <w:rsid w:val="004C1EEB"/>
    <w:rsid w:val="004C23DA"/>
    <w:rsid w:val="004C2881"/>
    <w:rsid w:val="004C3F78"/>
    <w:rsid w:val="004C4B6A"/>
    <w:rsid w:val="004C571F"/>
    <w:rsid w:val="004C7E57"/>
    <w:rsid w:val="004D7DE1"/>
    <w:rsid w:val="004E3861"/>
    <w:rsid w:val="004E4831"/>
    <w:rsid w:val="004E5EBD"/>
    <w:rsid w:val="004E6572"/>
    <w:rsid w:val="004E74ED"/>
    <w:rsid w:val="004F04EB"/>
    <w:rsid w:val="004F05C0"/>
    <w:rsid w:val="004F4048"/>
    <w:rsid w:val="004F731F"/>
    <w:rsid w:val="004F7E29"/>
    <w:rsid w:val="00500232"/>
    <w:rsid w:val="00501A4F"/>
    <w:rsid w:val="00504C69"/>
    <w:rsid w:val="00507D9D"/>
    <w:rsid w:val="00510FE8"/>
    <w:rsid w:val="00514BA2"/>
    <w:rsid w:val="00517003"/>
    <w:rsid w:val="005225BA"/>
    <w:rsid w:val="00523DCE"/>
    <w:rsid w:val="00524C63"/>
    <w:rsid w:val="005264B1"/>
    <w:rsid w:val="00526511"/>
    <w:rsid w:val="005303F0"/>
    <w:rsid w:val="0053288C"/>
    <w:rsid w:val="0053387E"/>
    <w:rsid w:val="0053685A"/>
    <w:rsid w:val="00536E8B"/>
    <w:rsid w:val="00541544"/>
    <w:rsid w:val="005419E1"/>
    <w:rsid w:val="005429E1"/>
    <w:rsid w:val="00542D23"/>
    <w:rsid w:val="005433CE"/>
    <w:rsid w:val="00550484"/>
    <w:rsid w:val="005524CA"/>
    <w:rsid w:val="0055304D"/>
    <w:rsid w:val="00553714"/>
    <w:rsid w:val="00554372"/>
    <w:rsid w:val="00555C5A"/>
    <w:rsid w:val="005606EA"/>
    <w:rsid w:val="00560B49"/>
    <w:rsid w:val="00563C04"/>
    <w:rsid w:val="00566018"/>
    <w:rsid w:val="00567576"/>
    <w:rsid w:val="00567FE0"/>
    <w:rsid w:val="0057153B"/>
    <w:rsid w:val="00581FB9"/>
    <w:rsid w:val="005853EB"/>
    <w:rsid w:val="00591AC7"/>
    <w:rsid w:val="0059215E"/>
    <w:rsid w:val="005925D4"/>
    <w:rsid w:val="0059353D"/>
    <w:rsid w:val="00595042"/>
    <w:rsid w:val="00595287"/>
    <w:rsid w:val="00596CAE"/>
    <w:rsid w:val="005A0C74"/>
    <w:rsid w:val="005A2BD2"/>
    <w:rsid w:val="005A4A96"/>
    <w:rsid w:val="005A7303"/>
    <w:rsid w:val="005B61C2"/>
    <w:rsid w:val="005C061A"/>
    <w:rsid w:val="005C09B7"/>
    <w:rsid w:val="005C236B"/>
    <w:rsid w:val="005C3819"/>
    <w:rsid w:val="005C69B8"/>
    <w:rsid w:val="005C7112"/>
    <w:rsid w:val="005D1601"/>
    <w:rsid w:val="005D1723"/>
    <w:rsid w:val="005D3B70"/>
    <w:rsid w:val="005E4025"/>
    <w:rsid w:val="005E58F8"/>
    <w:rsid w:val="005F143F"/>
    <w:rsid w:val="005F16EE"/>
    <w:rsid w:val="005F36EE"/>
    <w:rsid w:val="005F37C6"/>
    <w:rsid w:val="005F79CF"/>
    <w:rsid w:val="006009AA"/>
    <w:rsid w:val="00602F79"/>
    <w:rsid w:val="00604469"/>
    <w:rsid w:val="00607C53"/>
    <w:rsid w:val="00607E85"/>
    <w:rsid w:val="0061245F"/>
    <w:rsid w:val="00613D80"/>
    <w:rsid w:val="0061646C"/>
    <w:rsid w:val="00626722"/>
    <w:rsid w:val="00630FB1"/>
    <w:rsid w:val="00631CA4"/>
    <w:rsid w:val="006320D2"/>
    <w:rsid w:val="00633B2B"/>
    <w:rsid w:val="0063422E"/>
    <w:rsid w:val="0063541E"/>
    <w:rsid w:val="006367E8"/>
    <w:rsid w:val="00636B15"/>
    <w:rsid w:val="0064367D"/>
    <w:rsid w:val="00647064"/>
    <w:rsid w:val="0065110F"/>
    <w:rsid w:val="0065178C"/>
    <w:rsid w:val="00652382"/>
    <w:rsid w:val="00654B1F"/>
    <w:rsid w:val="00661A8D"/>
    <w:rsid w:val="00662180"/>
    <w:rsid w:val="00664355"/>
    <w:rsid w:val="006643EF"/>
    <w:rsid w:val="00666964"/>
    <w:rsid w:val="00666DB9"/>
    <w:rsid w:val="00667D4D"/>
    <w:rsid w:val="00670833"/>
    <w:rsid w:val="00670A42"/>
    <w:rsid w:val="00671BFB"/>
    <w:rsid w:val="006730D5"/>
    <w:rsid w:val="00676060"/>
    <w:rsid w:val="00677828"/>
    <w:rsid w:val="00680B43"/>
    <w:rsid w:val="006837F9"/>
    <w:rsid w:val="00686D99"/>
    <w:rsid w:val="00694C03"/>
    <w:rsid w:val="006A13E9"/>
    <w:rsid w:val="006A2601"/>
    <w:rsid w:val="006A3702"/>
    <w:rsid w:val="006A621C"/>
    <w:rsid w:val="006B01C4"/>
    <w:rsid w:val="006B5037"/>
    <w:rsid w:val="006B5176"/>
    <w:rsid w:val="006B719D"/>
    <w:rsid w:val="006B7745"/>
    <w:rsid w:val="006C05BC"/>
    <w:rsid w:val="006C1FF6"/>
    <w:rsid w:val="006C3479"/>
    <w:rsid w:val="006C474E"/>
    <w:rsid w:val="006C7D07"/>
    <w:rsid w:val="006D1C37"/>
    <w:rsid w:val="006D5456"/>
    <w:rsid w:val="006D715D"/>
    <w:rsid w:val="006E2F46"/>
    <w:rsid w:val="006E3C8C"/>
    <w:rsid w:val="006E5C0F"/>
    <w:rsid w:val="006E712A"/>
    <w:rsid w:val="006F0D64"/>
    <w:rsid w:val="006F1359"/>
    <w:rsid w:val="006F1B3E"/>
    <w:rsid w:val="006F1C6F"/>
    <w:rsid w:val="006F655A"/>
    <w:rsid w:val="007053B0"/>
    <w:rsid w:val="00706C16"/>
    <w:rsid w:val="007073EA"/>
    <w:rsid w:val="00711A03"/>
    <w:rsid w:val="00712EFC"/>
    <w:rsid w:val="00713BC1"/>
    <w:rsid w:val="00715234"/>
    <w:rsid w:val="007201EB"/>
    <w:rsid w:val="00723285"/>
    <w:rsid w:val="007233A0"/>
    <w:rsid w:val="007238B0"/>
    <w:rsid w:val="00723ECC"/>
    <w:rsid w:val="007260E9"/>
    <w:rsid w:val="00731921"/>
    <w:rsid w:val="007333F1"/>
    <w:rsid w:val="00733A14"/>
    <w:rsid w:val="00734111"/>
    <w:rsid w:val="00734718"/>
    <w:rsid w:val="00740856"/>
    <w:rsid w:val="007408DD"/>
    <w:rsid w:val="0074170B"/>
    <w:rsid w:val="0074573F"/>
    <w:rsid w:val="00746B06"/>
    <w:rsid w:val="00751C87"/>
    <w:rsid w:val="007531A1"/>
    <w:rsid w:val="00753A15"/>
    <w:rsid w:val="007562B4"/>
    <w:rsid w:val="00761697"/>
    <w:rsid w:val="007640C1"/>
    <w:rsid w:val="00764ECE"/>
    <w:rsid w:val="007660C7"/>
    <w:rsid w:val="0077189E"/>
    <w:rsid w:val="0077461A"/>
    <w:rsid w:val="00774BFE"/>
    <w:rsid w:val="00775FE4"/>
    <w:rsid w:val="007771AC"/>
    <w:rsid w:val="00777BA8"/>
    <w:rsid w:val="00780701"/>
    <w:rsid w:val="00780962"/>
    <w:rsid w:val="00785241"/>
    <w:rsid w:val="007863F2"/>
    <w:rsid w:val="00793E0A"/>
    <w:rsid w:val="00795CE5"/>
    <w:rsid w:val="007A0582"/>
    <w:rsid w:val="007A151B"/>
    <w:rsid w:val="007A52B8"/>
    <w:rsid w:val="007A63BF"/>
    <w:rsid w:val="007A7107"/>
    <w:rsid w:val="007B2237"/>
    <w:rsid w:val="007B3154"/>
    <w:rsid w:val="007B4203"/>
    <w:rsid w:val="007C0E82"/>
    <w:rsid w:val="007C4FCD"/>
    <w:rsid w:val="007C5367"/>
    <w:rsid w:val="007C7985"/>
    <w:rsid w:val="007D2641"/>
    <w:rsid w:val="007D3A0D"/>
    <w:rsid w:val="007E1206"/>
    <w:rsid w:val="007E218E"/>
    <w:rsid w:val="007E5DA6"/>
    <w:rsid w:val="007E625D"/>
    <w:rsid w:val="007E7F84"/>
    <w:rsid w:val="007F017C"/>
    <w:rsid w:val="007F1231"/>
    <w:rsid w:val="007F51EA"/>
    <w:rsid w:val="007F53DE"/>
    <w:rsid w:val="007F6AF8"/>
    <w:rsid w:val="007F7753"/>
    <w:rsid w:val="007F7B5C"/>
    <w:rsid w:val="00801D4D"/>
    <w:rsid w:val="00804716"/>
    <w:rsid w:val="00805519"/>
    <w:rsid w:val="00810432"/>
    <w:rsid w:val="00815200"/>
    <w:rsid w:val="00820EDD"/>
    <w:rsid w:val="0082171C"/>
    <w:rsid w:val="00822A43"/>
    <w:rsid w:val="00822DA7"/>
    <w:rsid w:val="00823641"/>
    <w:rsid w:val="00825695"/>
    <w:rsid w:val="00826566"/>
    <w:rsid w:val="0082683B"/>
    <w:rsid w:val="00830160"/>
    <w:rsid w:val="008307FB"/>
    <w:rsid w:val="00830DA8"/>
    <w:rsid w:val="00831147"/>
    <w:rsid w:val="008327C9"/>
    <w:rsid w:val="00834A0F"/>
    <w:rsid w:val="0084365E"/>
    <w:rsid w:val="00846DA2"/>
    <w:rsid w:val="00850D65"/>
    <w:rsid w:val="00860923"/>
    <w:rsid w:val="00861FFC"/>
    <w:rsid w:val="00863047"/>
    <w:rsid w:val="00863601"/>
    <w:rsid w:val="00863E94"/>
    <w:rsid w:val="00866536"/>
    <w:rsid w:val="00874E8C"/>
    <w:rsid w:val="008775AC"/>
    <w:rsid w:val="0087797E"/>
    <w:rsid w:val="008800AB"/>
    <w:rsid w:val="00882986"/>
    <w:rsid w:val="00882BC0"/>
    <w:rsid w:val="00882EBC"/>
    <w:rsid w:val="0088396C"/>
    <w:rsid w:val="008857A8"/>
    <w:rsid w:val="00885924"/>
    <w:rsid w:val="00885AB2"/>
    <w:rsid w:val="00886491"/>
    <w:rsid w:val="0088699E"/>
    <w:rsid w:val="008870AB"/>
    <w:rsid w:val="008912EF"/>
    <w:rsid w:val="0089181E"/>
    <w:rsid w:val="008932AA"/>
    <w:rsid w:val="008A04D1"/>
    <w:rsid w:val="008A1C96"/>
    <w:rsid w:val="008A1D29"/>
    <w:rsid w:val="008A22C2"/>
    <w:rsid w:val="008A56C4"/>
    <w:rsid w:val="008A72E5"/>
    <w:rsid w:val="008B0A9C"/>
    <w:rsid w:val="008B3441"/>
    <w:rsid w:val="008B4B99"/>
    <w:rsid w:val="008B5872"/>
    <w:rsid w:val="008B77D7"/>
    <w:rsid w:val="008C4F14"/>
    <w:rsid w:val="008C535A"/>
    <w:rsid w:val="008C5B44"/>
    <w:rsid w:val="008C6B36"/>
    <w:rsid w:val="008C72BD"/>
    <w:rsid w:val="008D0148"/>
    <w:rsid w:val="008D2AE3"/>
    <w:rsid w:val="008D3584"/>
    <w:rsid w:val="008E0CA0"/>
    <w:rsid w:val="008E267E"/>
    <w:rsid w:val="008E48C6"/>
    <w:rsid w:val="008E498C"/>
    <w:rsid w:val="008E5969"/>
    <w:rsid w:val="008E6D07"/>
    <w:rsid w:val="008F11D6"/>
    <w:rsid w:val="008F574E"/>
    <w:rsid w:val="00900E55"/>
    <w:rsid w:val="00900EA2"/>
    <w:rsid w:val="009022F4"/>
    <w:rsid w:val="00905014"/>
    <w:rsid w:val="009104D7"/>
    <w:rsid w:val="00913817"/>
    <w:rsid w:val="00915B5B"/>
    <w:rsid w:val="009162C1"/>
    <w:rsid w:val="00925EA2"/>
    <w:rsid w:val="00927508"/>
    <w:rsid w:val="00930F39"/>
    <w:rsid w:val="009319BC"/>
    <w:rsid w:val="0093252E"/>
    <w:rsid w:val="00935B20"/>
    <w:rsid w:val="00937A8E"/>
    <w:rsid w:val="009468F9"/>
    <w:rsid w:val="00954D4B"/>
    <w:rsid w:val="009574BB"/>
    <w:rsid w:val="009637D0"/>
    <w:rsid w:val="00964B9B"/>
    <w:rsid w:val="00966F00"/>
    <w:rsid w:val="00972CDC"/>
    <w:rsid w:val="00981A3B"/>
    <w:rsid w:val="00982B99"/>
    <w:rsid w:val="00986150"/>
    <w:rsid w:val="00987FD1"/>
    <w:rsid w:val="00994BC0"/>
    <w:rsid w:val="009A0790"/>
    <w:rsid w:val="009A417C"/>
    <w:rsid w:val="009A4905"/>
    <w:rsid w:val="009A55DF"/>
    <w:rsid w:val="009A5A02"/>
    <w:rsid w:val="009A64C1"/>
    <w:rsid w:val="009A6A93"/>
    <w:rsid w:val="009A7517"/>
    <w:rsid w:val="009B0DF8"/>
    <w:rsid w:val="009B40FF"/>
    <w:rsid w:val="009B633B"/>
    <w:rsid w:val="009B6C5B"/>
    <w:rsid w:val="009B73F1"/>
    <w:rsid w:val="009C2755"/>
    <w:rsid w:val="009C462B"/>
    <w:rsid w:val="009D018C"/>
    <w:rsid w:val="009D0945"/>
    <w:rsid w:val="009D1621"/>
    <w:rsid w:val="009D2717"/>
    <w:rsid w:val="009D27B0"/>
    <w:rsid w:val="009D70CB"/>
    <w:rsid w:val="009E0494"/>
    <w:rsid w:val="009E1FCD"/>
    <w:rsid w:val="009E2C2F"/>
    <w:rsid w:val="009E3952"/>
    <w:rsid w:val="009F4F18"/>
    <w:rsid w:val="009F56A5"/>
    <w:rsid w:val="00A0179E"/>
    <w:rsid w:val="00A03A01"/>
    <w:rsid w:val="00A11534"/>
    <w:rsid w:val="00A11C54"/>
    <w:rsid w:val="00A171B3"/>
    <w:rsid w:val="00A330EF"/>
    <w:rsid w:val="00A4088C"/>
    <w:rsid w:val="00A4120F"/>
    <w:rsid w:val="00A452A1"/>
    <w:rsid w:val="00A452B6"/>
    <w:rsid w:val="00A46FC1"/>
    <w:rsid w:val="00A47A9C"/>
    <w:rsid w:val="00A51BC2"/>
    <w:rsid w:val="00A55EA0"/>
    <w:rsid w:val="00A611EA"/>
    <w:rsid w:val="00A626DB"/>
    <w:rsid w:val="00A63E4A"/>
    <w:rsid w:val="00A66E11"/>
    <w:rsid w:val="00A71170"/>
    <w:rsid w:val="00A77DD6"/>
    <w:rsid w:val="00A808E8"/>
    <w:rsid w:val="00A80AF4"/>
    <w:rsid w:val="00A82B8F"/>
    <w:rsid w:val="00A83B96"/>
    <w:rsid w:val="00A86EA3"/>
    <w:rsid w:val="00A8787A"/>
    <w:rsid w:val="00A9032C"/>
    <w:rsid w:val="00A91891"/>
    <w:rsid w:val="00A92EFD"/>
    <w:rsid w:val="00AA06E8"/>
    <w:rsid w:val="00AA1E41"/>
    <w:rsid w:val="00AA2287"/>
    <w:rsid w:val="00AA5FFB"/>
    <w:rsid w:val="00AB56EA"/>
    <w:rsid w:val="00AB5A49"/>
    <w:rsid w:val="00AB7223"/>
    <w:rsid w:val="00AC4BB3"/>
    <w:rsid w:val="00AC5011"/>
    <w:rsid w:val="00AD02D6"/>
    <w:rsid w:val="00AD3A37"/>
    <w:rsid w:val="00AD3E74"/>
    <w:rsid w:val="00AE27B0"/>
    <w:rsid w:val="00AE2FB0"/>
    <w:rsid w:val="00AE3EC2"/>
    <w:rsid w:val="00AE6466"/>
    <w:rsid w:val="00AF29B5"/>
    <w:rsid w:val="00AF3681"/>
    <w:rsid w:val="00AF5CB7"/>
    <w:rsid w:val="00AF6537"/>
    <w:rsid w:val="00AF74C5"/>
    <w:rsid w:val="00B0116C"/>
    <w:rsid w:val="00B04671"/>
    <w:rsid w:val="00B12BFF"/>
    <w:rsid w:val="00B134D2"/>
    <w:rsid w:val="00B1674B"/>
    <w:rsid w:val="00B20B88"/>
    <w:rsid w:val="00B22D5A"/>
    <w:rsid w:val="00B23A53"/>
    <w:rsid w:val="00B255AF"/>
    <w:rsid w:val="00B27696"/>
    <w:rsid w:val="00B31522"/>
    <w:rsid w:val="00B32031"/>
    <w:rsid w:val="00B33276"/>
    <w:rsid w:val="00B3697A"/>
    <w:rsid w:val="00B40A4C"/>
    <w:rsid w:val="00B4177E"/>
    <w:rsid w:val="00B5048D"/>
    <w:rsid w:val="00B534CB"/>
    <w:rsid w:val="00B53615"/>
    <w:rsid w:val="00B56856"/>
    <w:rsid w:val="00B6104B"/>
    <w:rsid w:val="00B631AC"/>
    <w:rsid w:val="00B636EA"/>
    <w:rsid w:val="00B63850"/>
    <w:rsid w:val="00B66A64"/>
    <w:rsid w:val="00B77B25"/>
    <w:rsid w:val="00B84359"/>
    <w:rsid w:val="00B84659"/>
    <w:rsid w:val="00B878AA"/>
    <w:rsid w:val="00B91404"/>
    <w:rsid w:val="00B964AB"/>
    <w:rsid w:val="00BA0404"/>
    <w:rsid w:val="00BA0969"/>
    <w:rsid w:val="00BA19A0"/>
    <w:rsid w:val="00BA28DB"/>
    <w:rsid w:val="00BA609C"/>
    <w:rsid w:val="00BA78FB"/>
    <w:rsid w:val="00BB0D4D"/>
    <w:rsid w:val="00BB1E59"/>
    <w:rsid w:val="00BB4FB8"/>
    <w:rsid w:val="00BB5C19"/>
    <w:rsid w:val="00BB62CE"/>
    <w:rsid w:val="00BB6C16"/>
    <w:rsid w:val="00BB6E1A"/>
    <w:rsid w:val="00BC04EA"/>
    <w:rsid w:val="00BC79C6"/>
    <w:rsid w:val="00BD19E3"/>
    <w:rsid w:val="00BD415A"/>
    <w:rsid w:val="00BD4EFA"/>
    <w:rsid w:val="00BD542F"/>
    <w:rsid w:val="00BD63DA"/>
    <w:rsid w:val="00BD77B8"/>
    <w:rsid w:val="00BE1D86"/>
    <w:rsid w:val="00BE488E"/>
    <w:rsid w:val="00BF3B62"/>
    <w:rsid w:val="00BF3FD3"/>
    <w:rsid w:val="00C00467"/>
    <w:rsid w:val="00C05D32"/>
    <w:rsid w:val="00C0647E"/>
    <w:rsid w:val="00C07AB7"/>
    <w:rsid w:val="00C1021F"/>
    <w:rsid w:val="00C10753"/>
    <w:rsid w:val="00C1234C"/>
    <w:rsid w:val="00C127BC"/>
    <w:rsid w:val="00C12AF0"/>
    <w:rsid w:val="00C1435D"/>
    <w:rsid w:val="00C20DAB"/>
    <w:rsid w:val="00C22A26"/>
    <w:rsid w:val="00C245F6"/>
    <w:rsid w:val="00C26FC1"/>
    <w:rsid w:val="00C2740F"/>
    <w:rsid w:val="00C31A83"/>
    <w:rsid w:val="00C35203"/>
    <w:rsid w:val="00C352D6"/>
    <w:rsid w:val="00C42B3E"/>
    <w:rsid w:val="00C47FEC"/>
    <w:rsid w:val="00C53109"/>
    <w:rsid w:val="00C53A7A"/>
    <w:rsid w:val="00C54ABB"/>
    <w:rsid w:val="00C55F21"/>
    <w:rsid w:val="00C57823"/>
    <w:rsid w:val="00C606D3"/>
    <w:rsid w:val="00C627A5"/>
    <w:rsid w:val="00C66431"/>
    <w:rsid w:val="00C70A6B"/>
    <w:rsid w:val="00C77D14"/>
    <w:rsid w:val="00C77F03"/>
    <w:rsid w:val="00C81A96"/>
    <w:rsid w:val="00C844C8"/>
    <w:rsid w:val="00C905AE"/>
    <w:rsid w:val="00C92B14"/>
    <w:rsid w:val="00C9349B"/>
    <w:rsid w:val="00C96C2B"/>
    <w:rsid w:val="00C97BEA"/>
    <w:rsid w:val="00CA0825"/>
    <w:rsid w:val="00CB693B"/>
    <w:rsid w:val="00CB6E79"/>
    <w:rsid w:val="00CB7A11"/>
    <w:rsid w:val="00CC00C7"/>
    <w:rsid w:val="00CC181B"/>
    <w:rsid w:val="00CC351A"/>
    <w:rsid w:val="00CC54B5"/>
    <w:rsid w:val="00CD083A"/>
    <w:rsid w:val="00CD3251"/>
    <w:rsid w:val="00CD4D94"/>
    <w:rsid w:val="00CD67E8"/>
    <w:rsid w:val="00CE0D27"/>
    <w:rsid w:val="00CE14D6"/>
    <w:rsid w:val="00CE15B4"/>
    <w:rsid w:val="00CE1831"/>
    <w:rsid w:val="00CF5390"/>
    <w:rsid w:val="00CF703E"/>
    <w:rsid w:val="00D007E0"/>
    <w:rsid w:val="00D0162C"/>
    <w:rsid w:val="00D02D91"/>
    <w:rsid w:val="00D03EA2"/>
    <w:rsid w:val="00D04E13"/>
    <w:rsid w:val="00D1077C"/>
    <w:rsid w:val="00D12CBA"/>
    <w:rsid w:val="00D1781B"/>
    <w:rsid w:val="00D21D3F"/>
    <w:rsid w:val="00D235E6"/>
    <w:rsid w:val="00D23876"/>
    <w:rsid w:val="00D25184"/>
    <w:rsid w:val="00D27D17"/>
    <w:rsid w:val="00D31716"/>
    <w:rsid w:val="00D340E2"/>
    <w:rsid w:val="00D34527"/>
    <w:rsid w:val="00D37C1F"/>
    <w:rsid w:val="00D518E5"/>
    <w:rsid w:val="00D51E56"/>
    <w:rsid w:val="00D542E9"/>
    <w:rsid w:val="00D61754"/>
    <w:rsid w:val="00D62B44"/>
    <w:rsid w:val="00D630E2"/>
    <w:rsid w:val="00D64543"/>
    <w:rsid w:val="00D66CC7"/>
    <w:rsid w:val="00D713DA"/>
    <w:rsid w:val="00D71A11"/>
    <w:rsid w:val="00D74044"/>
    <w:rsid w:val="00D744E5"/>
    <w:rsid w:val="00D74774"/>
    <w:rsid w:val="00D81CBC"/>
    <w:rsid w:val="00D85FBC"/>
    <w:rsid w:val="00D8684D"/>
    <w:rsid w:val="00D922F7"/>
    <w:rsid w:val="00D93767"/>
    <w:rsid w:val="00D95987"/>
    <w:rsid w:val="00D9729D"/>
    <w:rsid w:val="00D973AF"/>
    <w:rsid w:val="00D97FC8"/>
    <w:rsid w:val="00DA060A"/>
    <w:rsid w:val="00DA0ABA"/>
    <w:rsid w:val="00DA1120"/>
    <w:rsid w:val="00DA3498"/>
    <w:rsid w:val="00DA34B5"/>
    <w:rsid w:val="00DA3C68"/>
    <w:rsid w:val="00DA5A25"/>
    <w:rsid w:val="00DA5FAC"/>
    <w:rsid w:val="00DA7230"/>
    <w:rsid w:val="00DB0F0B"/>
    <w:rsid w:val="00DB14B1"/>
    <w:rsid w:val="00DC3239"/>
    <w:rsid w:val="00DC40BD"/>
    <w:rsid w:val="00DC52E1"/>
    <w:rsid w:val="00DD4F3B"/>
    <w:rsid w:val="00DD5AD0"/>
    <w:rsid w:val="00DE1DC5"/>
    <w:rsid w:val="00DE303C"/>
    <w:rsid w:val="00DE3297"/>
    <w:rsid w:val="00DF1B46"/>
    <w:rsid w:val="00DF566F"/>
    <w:rsid w:val="00DF5E05"/>
    <w:rsid w:val="00E02125"/>
    <w:rsid w:val="00E03A67"/>
    <w:rsid w:val="00E07946"/>
    <w:rsid w:val="00E15EEB"/>
    <w:rsid w:val="00E16780"/>
    <w:rsid w:val="00E17AB2"/>
    <w:rsid w:val="00E2095E"/>
    <w:rsid w:val="00E22867"/>
    <w:rsid w:val="00E266C4"/>
    <w:rsid w:val="00E30B7E"/>
    <w:rsid w:val="00E36E78"/>
    <w:rsid w:val="00E37295"/>
    <w:rsid w:val="00E373DB"/>
    <w:rsid w:val="00E40276"/>
    <w:rsid w:val="00E415DE"/>
    <w:rsid w:val="00E4164C"/>
    <w:rsid w:val="00E41971"/>
    <w:rsid w:val="00E41A69"/>
    <w:rsid w:val="00E42ACA"/>
    <w:rsid w:val="00E4304F"/>
    <w:rsid w:val="00E50DC7"/>
    <w:rsid w:val="00E54DAA"/>
    <w:rsid w:val="00E578D1"/>
    <w:rsid w:val="00E611F6"/>
    <w:rsid w:val="00E63BB9"/>
    <w:rsid w:val="00E65C9D"/>
    <w:rsid w:val="00E67843"/>
    <w:rsid w:val="00E72B3D"/>
    <w:rsid w:val="00E743E6"/>
    <w:rsid w:val="00E7525D"/>
    <w:rsid w:val="00E77B81"/>
    <w:rsid w:val="00E83E00"/>
    <w:rsid w:val="00E856F2"/>
    <w:rsid w:val="00E902CE"/>
    <w:rsid w:val="00E9059D"/>
    <w:rsid w:val="00E910FF"/>
    <w:rsid w:val="00E92E08"/>
    <w:rsid w:val="00E94358"/>
    <w:rsid w:val="00E95883"/>
    <w:rsid w:val="00EA1A6C"/>
    <w:rsid w:val="00EA406A"/>
    <w:rsid w:val="00EA416D"/>
    <w:rsid w:val="00EA7B6A"/>
    <w:rsid w:val="00EB58DB"/>
    <w:rsid w:val="00EB7D33"/>
    <w:rsid w:val="00EC1118"/>
    <w:rsid w:val="00EC153B"/>
    <w:rsid w:val="00EC2280"/>
    <w:rsid w:val="00EC3EB8"/>
    <w:rsid w:val="00ED34A7"/>
    <w:rsid w:val="00ED442A"/>
    <w:rsid w:val="00ED4E5B"/>
    <w:rsid w:val="00EE2189"/>
    <w:rsid w:val="00EE222F"/>
    <w:rsid w:val="00EF0633"/>
    <w:rsid w:val="00EF1277"/>
    <w:rsid w:val="00EF23EF"/>
    <w:rsid w:val="00EF365F"/>
    <w:rsid w:val="00EF39AC"/>
    <w:rsid w:val="00EF4E32"/>
    <w:rsid w:val="00EF60D4"/>
    <w:rsid w:val="00EF738A"/>
    <w:rsid w:val="00EF7E4C"/>
    <w:rsid w:val="00F01DDB"/>
    <w:rsid w:val="00F02AA6"/>
    <w:rsid w:val="00F06858"/>
    <w:rsid w:val="00F07FB8"/>
    <w:rsid w:val="00F12204"/>
    <w:rsid w:val="00F22AEA"/>
    <w:rsid w:val="00F2580E"/>
    <w:rsid w:val="00F27595"/>
    <w:rsid w:val="00F352D0"/>
    <w:rsid w:val="00F40956"/>
    <w:rsid w:val="00F43B01"/>
    <w:rsid w:val="00F514CA"/>
    <w:rsid w:val="00F53561"/>
    <w:rsid w:val="00F57680"/>
    <w:rsid w:val="00F61047"/>
    <w:rsid w:val="00F63A8E"/>
    <w:rsid w:val="00F64A27"/>
    <w:rsid w:val="00F65176"/>
    <w:rsid w:val="00F65ABC"/>
    <w:rsid w:val="00F72173"/>
    <w:rsid w:val="00F74237"/>
    <w:rsid w:val="00F814B9"/>
    <w:rsid w:val="00F8237C"/>
    <w:rsid w:val="00F87244"/>
    <w:rsid w:val="00F91A7B"/>
    <w:rsid w:val="00F94AED"/>
    <w:rsid w:val="00F96FAA"/>
    <w:rsid w:val="00FA1257"/>
    <w:rsid w:val="00FA2207"/>
    <w:rsid w:val="00FA29F6"/>
    <w:rsid w:val="00FA5EF2"/>
    <w:rsid w:val="00FA674D"/>
    <w:rsid w:val="00FA70E3"/>
    <w:rsid w:val="00FA756A"/>
    <w:rsid w:val="00FA78EE"/>
    <w:rsid w:val="00FA7A0B"/>
    <w:rsid w:val="00FB18C1"/>
    <w:rsid w:val="00FB3ECE"/>
    <w:rsid w:val="00FB40D5"/>
    <w:rsid w:val="00FB5C86"/>
    <w:rsid w:val="00FC013A"/>
    <w:rsid w:val="00FC1EB6"/>
    <w:rsid w:val="00FC5168"/>
    <w:rsid w:val="00FD34DE"/>
    <w:rsid w:val="00FD68D5"/>
    <w:rsid w:val="00FD6C0C"/>
    <w:rsid w:val="00FE2172"/>
    <w:rsid w:val="00FE482B"/>
    <w:rsid w:val="00FE6A4D"/>
    <w:rsid w:val="00FE7A03"/>
    <w:rsid w:val="00FF09E9"/>
    <w:rsid w:val="00FF3216"/>
    <w:rsid w:val="00FF49EC"/>
    <w:rsid w:val="00FF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2AB68EFD"/>
  <w15:docId w15:val="{2A708855-FCF8-4809-8EE4-A6611171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F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5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A25"/>
    <w:rPr>
      <w:rFonts w:ascii="Tahoma" w:hAnsi="Tahoma" w:cs="Tahoma"/>
      <w:sz w:val="16"/>
      <w:szCs w:val="16"/>
    </w:rPr>
  </w:style>
  <w:style w:type="paragraph" w:styleId="Header">
    <w:name w:val="header"/>
    <w:basedOn w:val="Normal"/>
    <w:link w:val="HeaderChar"/>
    <w:uiPriority w:val="99"/>
    <w:unhideWhenUsed/>
    <w:rsid w:val="00234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49C"/>
  </w:style>
  <w:style w:type="paragraph" w:styleId="Footer">
    <w:name w:val="footer"/>
    <w:basedOn w:val="Normal"/>
    <w:link w:val="FooterChar"/>
    <w:uiPriority w:val="99"/>
    <w:unhideWhenUsed/>
    <w:rsid w:val="00234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49C"/>
  </w:style>
  <w:style w:type="table" w:styleId="TableGrid">
    <w:name w:val="Table Grid"/>
    <w:basedOn w:val="TableNormal"/>
    <w:uiPriority w:val="59"/>
    <w:rsid w:val="006A2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A53"/>
    <w:pPr>
      <w:ind w:left="720"/>
      <w:contextualSpacing/>
    </w:pPr>
  </w:style>
  <w:style w:type="character" w:styleId="Hyperlink">
    <w:name w:val="Hyperlink"/>
    <w:basedOn w:val="DefaultParagraphFont"/>
    <w:uiPriority w:val="99"/>
    <w:unhideWhenUsed/>
    <w:rsid w:val="001E737D"/>
    <w:rPr>
      <w:color w:val="0000FF" w:themeColor="hyperlink"/>
      <w:u w:val="single"/>
    </w:rPr>
  </w:style>
  <w:style w:type="paragraph" w:styleId="NoSpacing">
    <w:name w:val="No Spacing"/>
    <w:uiPriority w:val="1"/>
    <w:qFormat/>
    <w:rsid w:val="000632AF"/>
    <w:pPr>
      <w:spacing w:after="0" w:line="240" w:lineRule="auto"/>
    </w:pPr>
  </w:style>
  <w:style w:type="character" w:styleId="FollowedHyperlink">
    <w:name w:val="FollowedHyperlink"/>
    <w:basedOn w:val="DefaultParagraphFont"/>
    <w:uiPriority w:val="99"/>
    <w:semiHidden/>
    <w:unhideWhenUsed/>
    <w:rsid w:val="00091C02"/>
    <w:rPr>
      <w:color w:val="800080" w:themeColor="followedHyperlink"/>
      <w:u w:val="single"/>
    </w:rPr>
  </w:style>
  <w:style w:type="table" w:customStyle="1" w:styleId="TableGrid1">
    <w:name w:val="Table Grid1"/>
    <w:basedOn w:val="TableNormal"/>
    <w:next w:val="TableGrid"/>
    <w:uiPriority w:val="59"/>
    <w:rsid w:val="008B4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1145">
      <w:bodyDiv w:val="1"/>
      <w:marLeft w:val="0"/>
      <w:marRight w:val="0"/>
      <w:marTop w:val="0"/>
      <w:marBottom w:val="0"/>
      <w:divBdr>
        <w:top w:val="none" w:sz="0" w:space="0" w:color="auto"/>
        <w:left w:val="none" w:sz="0" w:space="0" w:color="auto"/>
        <w:bottom w:val="none" w:sz="0" w:space="0" w:color="auto"/>
        <w:right w:val="none" w:sz="0" w:space="0" w:color="auto"/>
      </w:divBdr>
    </w:div>
    <w:div w:id="89158142">
      <w:bodyDiv w:val="1"/>
      <w:marLeft w:val="0"/>
      <w:marRight w:val="0"/>
      <w:marTop w:val="0"/>
      <w:marBottom w:val="0"/>
      <w:divBdr>
        <w:top w:val="none" w:sz="0" w:space="0" w:color="auto"/>
        <w:left w:val="none" w:sz="0" w:space="0" w:color="auto"/>
        <w:bottom w:val="none" w:sz="0" w:space="0" w:color="auto"/>
        <w:right w:val="none" w:sz="0" w:space="0" w:color="auto"/>
      </w:divBdr>
    </w:div>
    <w:div w:id="208614367">
      <w:bodyDiv w:val="1"/>
      <w:marLeft w:val="0"/>
      <w:marRight w:val="0"/>
      <w:marTop w:val="0"/>
      <w:marBottom w:val="0"/>
      <w:divBdr>
        <w:top w:val="none" w:sz="0" w:space="0" w:color="auto"/>
        <w:left w:val="none" w:sz="0" w:space="0" w:color="auto"/>
        <w:bottom w:val="none" w:sz="0" w:space="0" w:color="auto"/>
        <w:right w:val="none" w:sz="0" w:space="0" w:color="auto"/>
      </w:divBdr>
    </w:div>
    <w:div w:id="221448504">
      <w:bodyDiv w:val="1"/>
      <w:marLeft w:val="0"/>
      <w:marRight w:val="0"/>
      <w:marTop w:val="0"/>
      <w:marBottom w:val="0"/>
      <w:divBdr>
        <w:top w:val="none" w:sz="0" w:space="0" w:color="auto"/>
        <w:left w:val="none" w:sz="0" w:space="0" w:color="auto"/>
        <w:bottom w:val="none" w:sz="0" w:space="0" w:color="auto"/>
        <w:right w:val="none" w:sz="0" w:space="0" w:color="auto"/>
      </w:divBdr>
    </w:div>
    <w:div w:id="222835876">
      <w:bodyDiv w:val="1"/>
      <w:marLeft w:val="0"/>
      <w:marRight w:val="0"/>
      <w:marTop w:val="0"/>
      <w:marBottom w:val="0"/>
      <w:divBdr>
        <w:top w:val="none" w:sz="0" w:space="0" w:color="auto"/>
        <w:left w:val="none" w:sz="0" w:space="0" w:color="auto"/>
        <w:bottom w:val="none" w:sz="0" w:space="0" w:color="auto"/>
        <w:right w:val="none" w:sz="0" w:space="0" w:color="auto"/>
      </w:divBdr>
    </w:div>
    <w:div w:id="256796265">
      <w:bodyDiv w:val="1"/>
      <w:marLeft w:val="0"/>
      <w:marRight w:val="0"/>
      <w:marTop w:val="0"/>
      <w:marBottom w:val="0"/>
      <w:divBdr>
        <w:top w:val="none" w:sz="0" w:space="0" w:color="auto"/>
        <w:left w:val="none" w:sz="0" w:space="0" w:color="auto"/>
        <w:bottom w:val="none" w:sz="0" w:space="0" w:color="auto"/>
        <w:right w:val="none" w:sz="0" w:space="0" w:color="auto"/>
      </w:divBdr>
    </w:div>
    <w:div w:id="308631696">
      <w:bodyDiv w:val="1"/>
      <w:marLeft w:val="0"/>
      <w:marRight w:val="0"/>
      <w:marTop w:val="0"/>
      <w:marBottom w:val="0"/>
      <w:divBdr>
        <w:top w:val="none" w:sz="0" w:space="0" w:color="auto"/>
        <w:left w:val="none" w:sz="0" w:space="0" w:color="auto"/>
        <w:bottom w:val="none" w:sz="0" w:space="0" w:color="auto"/>
        <w:right w:val="none" w:sz="0" w:space="0" w:color="auto"/>
      </w:divBdr>
    </w:div>
    <w:div w:id="312564457">
      <w:bodyDiv w:val="1"/>
      <w:marLeft w:val="0"/>
      <w:marRight w:val="0"/>
      <w:marTop w:val="0"/>
      <w:marBottom w:val="0"/>
      <w:divBdr>
        <w:top w:val="none" w:sz="0" w:space="0" w:color="auto"/>
        <w:left w:val="none" w:sz="0" w:space="0" w:color="auto"/>
        <w:bottom w:val="none" w:sz="0" w:space="0" w:color="auto"/>
        <w:right w:val="none" w:sz="0" w:space="0" w:color="auto"/>
      </w:divBdr>
    </w:div>
    <w:div w:id="317345587">
      <w:bodyDiv w:val="1"/>
      <w:marLeft w:val="0"/>
      <w:marRight w:val="0"/>
      <w:marTop w:val="0"/>
      <w:marBottom w:val="0"/>
      <w:divBdr>
        <w:top w:val="none" w:sz="0" w:space="0" w:color="auto"/>
        <w:left w:val="none" w:sz="0" w:space="0" w:color="auto"/>
        <w:bottom w:val="none" w:sz="0" w:space="0" w:color="auto"/>
        <w:right w:val="none" w:sz="0" w:space="0" w:color="auto"/>
      </w:divBdr>
    </w:div>
    <w:div w:id="410472028">
      <w:bodyDiv w:val="1"/>
      <w:marLeft w:val="0"/>
      <w:marRight w:val="0"/>
      <w:marTop w:val="0"/>
      <w:marBottom w:val="0"/>
      <w:divBdr>
        <w:top w:val="none" w:sz="0" w:space="0" w:color="auto"/>
        <w:left w:val="none" w:sz="0" w:space="0" w:color="auto"/>
        <w:bottom w:val="none" w:sz="0" w:space="0" w:color="auto"/>
        <w:right w:val="none" w:sz="0" w:space="0" w:color="auto"/>
      </w:divBdr>
    </w:div>
    <w:div w:id="517500724">
      <w:bodyDiv w:val="1"/>
      <w:marLeft w:val="0"/>
      <w:marRight w:val="0"/>
      <w:marTop w:val="0"/>
      <w:marBottom w:val="0"/>
      <w:divBdr>
        <w:top w:val="none" w:sz="0" w:space="0" w:color="auto"/>
        <w:left w:val="none" w:sz="0" w:space="0" w:color="auto"/>
        <w:bottom w:val="none" w:sz="0" w:space="0" w:color="auto"/>
        <w:right w:val="none" w:sz="0" w:space="0" w:color="auto"/>
      </w:divBdr>
    </w:div>
    <w:div w:id="559054834">
      <w:bodyDiv w:val="1"/>
      <w:marLeft w:val="0"/>
      <w:marRight w:val="0"/>
      <w:marTop w:val="0"/>
      <w:marBottom w:val="0"/>
      <w:divBdr>
        <w:top w:val="none" w:sz="0" w:space="0" w:color="auto"/>
        <w:left w:val="none" w:sz="0" w:space="0" w:color="auto"/>
        <w:bottom w:val="none" w:sz="0" w:space="0" w:color="auto"/>
        <w:right w:val="none" w:sz="0" w:space="0" w:color="auto"/>
      </w:divBdr>
    </w:div>
    <w:div w:id="560749438">
      <w:bodyDiv w:val="1"/>
      <w:marLeft w:val="0"/>
      <w:marRight w:val="0"/>
      <w:marTop w:val="0"/>
      <w:marBottom w:val="0"/>
      <w:divBdr>
        <w:top w:val="none" w:sz="0" w:space="0" w:color="auto"/>
        <w:left w:val="none" w:sz="0" w:space="0" w:color="auto"/>
        <w:bottom w:val="none" w:sz="0" w:space="0" w:color="auto"/>
        <w:right w:val="none" w:sz="0" w:space="0" w:color="auto"/>
      </w:divBdr>
    </w:div>
    <w:div w:id="612246018">
      <w:bodyDiv w:val="1"/>
      <w:marLeft w:val="0"/>
      <w:marRight w:val="0"/>
      <w:marTop w:val="0"/>
      <w:marBottom w:val="0"/>
      <w:divBdr>
        <w:top w:val="none" w:sz="0" w:space="0" w:color="auto"/>
        <w:left w:val="none" w:sz="0" w:space="0" w:color="auto"/>
        <w:bottom w:val="none" w:sz="0" w:space="0" w:color="auto"/>
        <w:right w:val="none" w:sz="0" w:space="0" w:color="auto"/>
      </w:divBdr>
    </w:div>
    <w:div w:id="710803472">
      <w:bodyDiv w:val="1"/>
      <w:marLeft w:val="0"/>
      <w:marRight w:val="0"/>
      <w:marTop w:val="0"/>
      <w:marBottom w:val="0"/>
      <w:divBdr>
        <w:top w:val="none" w:sz="0" w:space="0" w:color="auto"/>
        <w:left w:val="none" w:sz="0" w:space="0" w:color="auto"/>
        <w:bottom w:val="none" w:sz="0" w:space="0" w:color="auto"/>
        <w:right w:val="none" w:sz="0" w:space="0" w:color="auto"/>
      </w:divBdr>
    </w:div>
    <w:div w:id="762840772">
      <w:bodyDiv w:val="1"/>
      <w:marLeft w:val="0"/>
      <w:marRight w:val="0"/>
      <w:marTop w:val="0"/>
      <w:marBottom w:val="0"/>
      <w:divBdr>
        <w:top w:val="none" w:sz="0" w:space="0" w:color="auto"/>
        <w:left w:val="none" w:sz="0" w:space="0" w:color="auto"/>
        <w:bottom w:val="none" w:sz="0" w:space="0" w:color="auto"/>
        <w:right w:val="none" w:sz="0" w:space="0" w:color="auto"/>
      </w:divBdr>
    </w:div>
    <w:div w:id="768233230">
      <w:bodyDiv w:val="1"/>
      <w:marLeft w:val="0"/>
      <w:marRight w:val="0"/>
      <w:marTop w:val="0"/>
      <w:marBottom w:val="0"/>
      <w:divBdr>
        <w:top w:val="none" w:sz="0" w:space="0" w:color="auto"/>
        <w:left w:val="none" w:sz="0" w:space="0" w:color="auto"/>
        <w:bottom w:val="none" w:sz="0" w:space="0" w:color="auto"/>
        <w:right w:val="none" w:sz="0" w:space="0" w:color="auto"/>
      </w:divBdr>
    </w:div>
    <w:div w:id="790130965">
      <w:bodyDiv w:val="1"/>
      <w:marLeft w:val="0"/>
      <w:marRight w:val="0"/>
      <w:marTop w:val="0"/>
      <w:marBottom w:val="0"/>
      <w:divBdr>
        <w:top w:val="none" w:sz="0" w:space="0" w:color="auto"/>
        <w:left w:val="none" w:sz="0" w:space="0" w:color="auto"/>
        <w:bottom w:val="none" w:sz="0" w:space="0" w:color="auto"/>
        <w:right w:val="none" w:sz="0" w:space="0" w:color="auto"/>
      </w:divBdr>
    </w:div>
    <w:div w:id="790976445">
      <w:bodyDiv w:val="1"/>
      <w:marLeft w:val="0"/>
      <w:marRight w:val="0"/>
      <w:marTop w:val="0"/>
      <w:marBottom w:val="0"/>
      <w:divBdr>
        <w:top w:val="none" w:sz="0" w:space="0" w:color="auto"/>
        <w:left w:val="none" w:sz="0" w:space="0" w:color="auto"/>
        <w:bottom w:val="none" w:sz="0" w:space="0" w:color="auto"/>
        <w:right w:val="none" w:sz="0" w:space="0" w:color="auto"/>
      </w:divBdr>
    </w:div>
    <w:div w:id="918948939">
      <w:bodyDiv w:val="1"/>
      <w:marLeft w:val="0"/>
      <w:marRight w:val="0"/>
      <w:marTop w:val="0"/>
      <w:marBottom w:val="0"/>
      <w:divBdr>
        <w:top w:val="none" w:sz="0" w:space="0" w:color="auto"/>
        <w:left w:val="none" w:sz="0" w:space="0" w:color="auto"/>
        <w:bottom w:val="none" w:sz="0" w:space="0" w:color="auto"/>
        <w:right w:val="none" w:sz="0" w:space="0" w:color="auto"/>
      </w:divBdr>
    </w:div>
    <w:div w:id="1219783654">
      <w:bodyDiv w:val="1"/>
      <w:marLeft w:val="0"/>
      <w:marRight w:val="0"/>
      <w:marTop w:val="0"/>
      <w:marBottom w:val="0"/>
      <w:divBdr>
        <w:top w:val="none" w:sz="0" w:space="0" w:color="auto"/>
        <w:left w:val="none" w:sz="0" w:space="0" w:color="auto"/>
        <w:bottom w:val="none" w:sz="0" w:space="0" w:color="auto"/>
        <w:right w:val="none" w:sz="0" w:space="0" w:color="auto"/>
      </w:divBdr>
    </w:div>
    <w:div w:id="1397439557">
      <w:bodyDiv w:val="1"/>
      <w:marLeft w:val="0"/>
      <w:marRight w:val="0"/>
      <w:marTop w:val="0"/>
      <w:marBottom w:val="0"/>
      <w:divBdr>
        <w:top w:val="none" w:sz="0" w:space="0" w:color="auto"/>
        <w:left w:val="none" w:sz="0" w:space="0" w:color="auto"/>
        <w:bottom w:val="none" w:sz="0" w:space="0" w:color="auto"/>
        <w:right w:val="none" w:sz="0" w:space="0" w:color="auto"/>
      </w:divBdr>
    </w:div>
    <w:div w:id="1412585464">
      <w:bodyDiv w:val="1"/>
      <w:marLeft w:val="0"/>
      <w:marRight w:val="0"/>
      <w:marTop w:val="0"/>
      <w:marBottom w:val="0"/>
      <w:divBdr>
        <w:top w:val="none" w:sz="0" w:space="0" w:color="auto"/>
        <w:left w:val="none" w:sz="0" w:space="0" w:color="auto"/>
        <w:bottom w:val="none" w:sz="0" w:space="0" w:color="auto"/>
        <w:right w:val="none" w:sz="0" w:space="0" w:color="auto"/>
      </w:divBdr>
    </w:div>
    <w:div w:id="1478911656">
      <w:bodyDiv w:val="1"/>
      <w:marLeft w:val="0"/>
      <w:marRight w:val="0"/>
      <w:marTop w:val="0"/>
      <w:marBottom w:val="0"/>
      <w:divBdr>
        <w:top w:val="none" w:sz="0" w:space="0" w:color="auto"/>
        <w:left w:val="none" w:sz="0" w:space="0" w:color="auto"/>
        <w:bottom w:val="none" w:sz="0" w:space="0" w:color="auto"/>
        <w:right w:val="none" w:sz="0" w:space="0" w:color="auto"/>
      </w:divBdr>
    </w:div>
    <w:div w:id="1499736579">
      <w:bodyDiv w:val="1"/>
      <w:marLeft w:val="0"/>
      <w:marRight w:val="0"/>
      <w:marTop w:val="0"/>
      <w:marBottom w:val="0"/>
      <w:divBdr>
        <w:top w:val="none" w:sz="0" w:space="0" w:color="auto"/>
        <w:left w:val="none" w:sz="0" w:space="0" w:color="auto"/>
        <w:bottom w:val="none" w:sz="0" w:space="0" w:color="auto"/>
        <w:right w:val="none" w:sz="0" w:space="0" w:color="auto"/>
      </w:divBdr>
    </w:div>
    <w:div w:id="1526365504">
      <w:bodyDiv w:val="1"/>
      <w:marLeft w:val="0"/>
      <w:marRight w:val="0"/>
      <w:marTop w:val="0"/>
      <w:marBottom w:val="0"/>
      <w:divBdr>
        <w:top w:val="none" w:sz="0" w:space="0" w:color="auto"/>
        <w:left w:val="none" w:sz="0" w:space="0" w:color="auto"/>
        <w:bottom w:val="none" w:sz="0" w:space="0" w:color="auto"/>
        <w:right w:val="none" w:sz="0" w:space="0" w:color="auto"/>
      </w:divBdr>
    </w:div>
    <w:div w:id="1542867068">
      <w:bodyDiv w:val="1"/>
      <w:marLeft w:val="0"/>
      <w:marRight w:val="0"/>
      <w:marTop w:val="0"/>
      <w:marBottom w:val="0"/>
      <w:divBdr>
        <w:top w:val="none" w:sz="0" w:space="0" w:color="auto"/>
        <w:left w:val="none" w:sz="0" w:space="0" w:color="auto"/>
        <w:bottom w:val="none" w:sz="0" w:space="0" w:color="auto"/>
        <w:right w:val="none" w:sz="0" w:space="0" w:color="auto"/>
      </w:divBdr>
    </w:div>
    <w:div w:id="1653027571">
      <w:bodyDiv w:val="1"/>
      <w:marLeft w:val="0"/>
      <w:marRight w:val="0"/>
      <w:marTop w:val="0"/>
      <w:marBottom w:val="0"/>
      <w:divBdr>
        <w:top w:val="none" w:sz="0" w:space="0" w:color="auto"/>
        <w:left w:val="none" w:sz="0" w:space="0" w:color="auto"/>
        <w:bottom w:val="none" w:sz="0" w:space="0" w:color="auto"/>
        <w:right w:val="none" w:sz="0" w:space="0" w:color="auto"/>
      </w:divBdr>
    </w:div>
    <w:div w:id="1712798725">
      <w:bodyDiv w:val="1"/>
      <w:marLeft w:val="0"/>
      <w:marRight w:val="0"/>
      <w:marTop w:val="0"/>
      <w:marBottom w:val="0"/>
      <w:divBdr>
        <w:top w:val="none" w:sz="0" w:space="0" w:color="auto"/>
        <w:left w:val="none" w:sz="0" w:space="0" w:color="auto"/>
        <w:bottom w:val="none" w:sz="0" w:space="0" w:color="auto"/>
        <w:right w:val="none" w:sz="0" w:space="0" w:color="auto"/>
      </w:divBdr>
    </w:div>
    <w:div w:id="1714229990">
      <w:bodyDiv w:val="1"/>
      <w:marLeft w:val="0"/>
      <w:marRight w:val="0"/>
      <w:marTop w:val="0"/>
      <w:marBottom w:val="0"/>
      <w:divBdr>
        <w:top w:val="none" w:sz="0" w:space="0" w:color="auto"/>
        <w:left w:val="none" w:sz="0" w:space="0" w:color="auto"/>
        <w:bottom w:val="none" w:sz="0" w:space="0" w:color="auto"/>
        <w:right w:val="none" w:sz="0" w:space="0" w:color="auto"/>
      </w:divBdr>
    </w:div>
    <w:div w:id="1742292764">
      <w:bodyDiv w:val="1"/>
      <w:marLeft w:val="0"/>
      <w:marRight w:val="0"/>
      <w:marTop w:val="0"/>
      <w:marBottom w:val="0"/>
      <w:divBdr>
        <w:top w:val="none" w:sz="0" w:space="0" w:color="auto"/>
        <w:left w:val="none" w:sz="0" w:space="0" w:color="auto"/>
        <w:bottom w:val="none" w:sz="0" w:space="0" w:color="auto"/>
        <w:right w:val="none" w:sz="0" w:space="0" w:color="auto"/>
      </w:divBdr>
    </w:div>
    <w:div w:id="1756896069">
      <w:bodyDiv w:val="1"/>
      <w:marLeft w:val="0"/>
      <w:marRight w:val="0"/>
      <w:marTop w:val="0"/>
      <w:marBottom w:val="0"/>
      <w:divBdr>
        <w:top w:val="none" w:sz="0" w:space="0" w:color="auto"/>
        <w:left w:val="none" w:sz="0" w:space="0" w:color="auto"/>
        <w:bottom w:val="none" w:sz="0" w:space="0" w:color="auto"/>
        <w:right w:val="none" w:sz="0" w:space="0" w:color="auto"/>
      </w:divBdr>
    </w:div>
    <w:div w:id="1769235662">
      <w:bodyDiv w:val="1"/>
      <w:marLeft w:val="0"/>
      <w:marRight w:val="0"/>
      <w:marTop w:val="0"/>
      <w:marBottom w:val="0"/>
      <w:divBdr>
        <w:top w:val="none" w:sz="0" w:space="0" w:color="auto"/>
        <w:left w:val="none" w:sz="0" w:space="0" w:color="auto"/>
        <w:bottom w:val="none" w:sz="0" w:space="0" w:color="auto"/>
        <w:right w:val="none" w:sz="0" w:space="0" w:color="auto"/>
      </w:divBdr>
    </w:div>
    <w:div w:id="1776245852">
      <w:bodyDiv w:val="1"/>
      <w:marLeft w:val="0"/>
      <w:marRight w:val="0"/>
      <w:marTop w:val="0"/>
      <w:marBottom w:val="0"/>
      <w:divBdr>
        <w:top w:val="none" w:sz="0" w:space="0" w:color="auto"/>
        <w:left w:val="none" w:sz="0" w:space="0" w:color="auto"/>
        <w:bottom w:val="none" w:sz="0" w:space="0" w:color="auto"/>
        <w:right w:val="none" w:sz="0" w:space="0" w:color="auto"/>
      </w:divBdr>
    </w:div>
    <w:div w:id="1821994524">
      <w:bodyDiv w:val="1"/>
      <w:marLeft w:val="0"/>
      <w:marRight w:val="0"/>
      <w:marTop w:val="0"/>
      <w:marBottom w:val="0"/>
      <w:divBdr>
        <w:top w:val="none" w:sz="0" w:space="0" w:color="auto"/>
        <w:left w:val="none" w:sz="0" w:space="0" w:color="auto"/>
        <w:bottom w:val="none" w:sz="0" w:space="0" w:color="auto"/>
        <w:right w:val="none" w:sz="0" w:space="0" w:color="auto"/>
      </w:divBdr>
    </w:div>
    <w:div w:id="1896231959">
      <w:bodyDiv w:val="1"/>
      <w:marLeft w:val="0"/>
      <w:marRight w:val="0"/>
      <w:marTop w:val="0"/>
      <w:marBottom w:val="0"/>
      <w:divBdr>
        <w:top w:val="none" w:sz="0" w:space="0" w:color="auto"/>
        <w:left w:val="none" w:sz="0" w:space="0" w:color="auto"/>
        <w:bottom w:val="none" w:sz="0" w:space="0" w:color="auto"/>
        <w:right w:val="none" w:sz="0" w:space="0" w:color="auto"/>
      </w:divBdr>
    </w:div>
    <w:div w:id="1904637708">
      <w:bodyDiv w:val="1"/>
      <w:marLeft w:val="0"/>
      <w:marRight w:val="0"/>
      <w:marTop w:val="0"/>
      <w:marBottom w:val="0"/>
      <w:divBdr>
        <w:top w:val="none" w:sz="0" w:space="0" w:color="auto"/>
        <w:left w:val="none" w:sz="0" w:space="0" w:color="auto"/>
        <w:bottom w:val="none" w:sz="0" w:space="0" w:color="auto"/>
        <w:right w:val="none" w:sz="0" w:space="0" w:color="auto"/>
      </w:divBdr>
    </w:div>
    <w:div w:id="1908147247">
      <w:bodyDiv w:val="1"/>
      <w:marLeft w:val="0"/>
      <w:marRight w:val="0"/>
      <w:marTop w:val="0"/>
      <w:marBottom w:val="0"/>
      <w:divBdr>
        <w:top w:val="none" w:sz="0" w:space="0" w:color="auto"/>
        <w:left w:val="none" w:sz="0" w:space="0" w:color="auto"/>
        <w:bottom w:val="none" w:sz="0" w:space="0" w:color="auto"/>
        <w:right w:val="none" w:sz="0" w:space="0" w:color="auto"/>
      </w:divBdr>
    </w:div>
    <w:div w:id="1949198110">
      <w:bodyDiv w:val="1"/>
      <w:marLeft w:val="0"/>
      <w:marRight w:val="0"/>
      <w:marTop w:val="0"/>
      <w:marBottom w:val="0"/>
      <w:divBdr>
        <w:top w:val="none" w:sz="0" w:space="0" w:color="auto"/>
        <w:left w:val="none" w:sz="0" w:space="0" w:color="auto"/>
        <w:bottom w:val="none" w:sz="0" w:space="0" w:color="auto"/>
        <w:right w:val="none" w:sz="0" w:space="0" w:color="auto"/>
      </w:divBdr>
    </w:div>
    <w:div w:id="203326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www.census.gov/retail" TargetMode="External"/><Relationship Id="rId3" Type="http://schemas.openxmlformats.org/officeDocument/2006/relationships/customXml" Target="../customXml/item3.xml"/><Relationship Id="rId21" Type="http://schemas.openxmlformats.org/officeDocument/2006/relationships/hyperlink" Target="http://www.census.gov/economic-indicator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census.gov/foreign-trade/guide/sec2.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hyperlink" Target="http://census.gov/econ/indicators/historical_data.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ensus.gov/foreign-trade/guide/sec2.html" TargetMode="Externa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census.gov/foreign-trade/guide/sec2.html" TargetMode="External"/><Relationship Id="rId28" Type="http://schemas.openxmlformats.org/officeDocument/2006/relationships/hyperlink" Target="http://www.census.gov/econ/indicators/index.html" TargetMode="Externa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yperlink" Target="http://www.census.gov/develop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census.gov/foreign-trade/guide/sec2.html" TargetMode="External"/><Relationship Id="rId27" Type="http://schemas.openxmlformats.org/officeDocument/2006/relationships/hyperlink" Target="http://www.census.gov/wholesale" TargetMode="External"/><Relationship Id="rId30" Type="http://schemas.openxmlformats.org/officeDocument/2006/relationships/hyperlink" Target="http://www.census.gov/mobile/economy/"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eid.wholesale.indicator.branch@census.gov" TargetMode="External"/><Relationship Id="rId2" Type="http://schemas.openxmlformats.org/officeDocument/2006/relationships/hyperlink" Target="mailto:eid.retail.indicator.branch@census.gov" TargetMode="External"/><Relationship Id="rId1" Type="http://schemas.openxmlformats.org/officeDocument/2006/relationships/hyperlink" Target="mailto:eid.international.trade.data@census.gov" TargetMode="External"/><Relationship Id="rId5" Type="http://schemas.openxmlformats.org/officeDocument/2006/relationships/image" Target="media/image1.jpg"/><Relationship Id="rId4" Type="http://schemas.openxmlformats.org/officeDocument/2006/relationships/hyperlink" Target="http://www.census.gov/manufacturing/m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11/19/2015 11:08:58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11/19/2015 11:08:58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11/19/2015 11:08:58 PM</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8D10C07BF10E45A5750F42D95719FD" ma:contentTypeVersion="19" ma:contentTypeDescription="Create a new document." ma:contentTypeScope="" ma:versionID="73736f085d270f388ec939c1158a1672">
  <xsd:schema xmlns:xsd="http://www.w3.org/2001/XMLSchema" xmlns:xs="http://www.w3.org/2001/XMLSchema" xmlns:p="http://schemas.microsoft.com/office/2006/metadata/properties" targetNamespace="http://schemas.microsoft.com/office/2006/metadata/properties" ma:root="true" ma:fieldsID="8022916f55ab85163ee9a5069dec31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479DD-8E46-498B-A4A3-90D758419368}">
  <ds:schemaRefs>
    <ds:schemaRef ds:uri="http://schemas.microsoft.com/sharepoint/v3/contenttype/forms"/>
  </ds:schemaRefs>
</ds:datastoreItem>
</file>

<file path=customXml/itemProps2.xml><?xml version="1.0" encoding="utf-8"?>
<ds:datastoreItem xmlns:ds="http://schemas.openxmlformats.org/officeDocument/2006/customXml" ds:itemID="{1B5C5D82-4BA1-4476-9BB5-2ECF5CB23216}">
  <ds:schemaRefs>
    <ds:schemaRef ds:uri="http://schemas.microsoft.com/sharepoint/events"/>
  </ds:schemaRefs>
</ds:datastoreItem>
</file>

<file path=customXml/itemProps3.xml><?xml version="1.0" encoding="utf-8"?>
<ds:datastoreItem xmlns:ds="http://schemas.openxmlformats.org/officeDocument/2006/customXml" ds:itemID="{0B46247B-33F3-4576-97A8-021954BFA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367E6F-578F-4F4D-A909-03B8AB263DCA}">
  <ds:schemaRef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4485FD56-0B37-4972-8FCB-9F38EBA43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E2C1E297.dotm</Template>
  <TotalTime>56</TotalTime>
  <Pages>2</Pages>
  <Words>1913</Words>
  <Characters>10907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E Kafchinski</dc:creator>
  <cp:lastModifiedBy>Fatima Arif (CENSUS/EID FED)</cp:lastModifiedBy>
  <cp:revision>11</cp:revision>
  <cp:lastPrinted>2016-12-23T14:31:00Z</cp:lastPrinted>
  <dcterms:created xsi:type="dcterms:W3CDTF">2016-12-27T16:27:00Z</dcterms:created>
  <dcterms:modified xsi:type="dcterms:W3CDTF">2016-12-27T21:03:00Z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0x010100B88D10C07BF10E45A5750F42D95719FD</vt:lpwstr>
  </property>
</Properties>
</file>