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A5" w:rsidRDefault="00266AA5" w:rsidP="00D11A40">
      <w:pPr>
        <w:pStyle w:val="Title"/>
        <w:spacing w:before="120"/>
      </w:pPr>
      <w:bookmarkStart w:id="0" w:name="_GoBack"/>
      <w:bookmarkEnd w:id="0"/>
      <w:r>
        <w:rPr>
          <w:rFonts w:ascii="Times New Roman" w:hAnsi="Times New Roman"/>
        </w:rPr>
        <w:t>INFORMATION ON GOODS AND SERVICES</w:t>
      </w:r>
    </w:p>
    <w:p w:rsidR="00266AA5" w:rsidRDefault="00266AA5">
      <w:pPr>
        <w:spacing w:after="240"/>
        <w:rPr>
          <w:sz w:val="22"/>
        </w:rPr>
        <w:sectPr w:rsidR="00266AA5" w:rsidSect="00572564">
          <w:headerReference w:type="even" r:id="rId9"/>
          <w:headerReference w:type="default" r:id="rId10"/>
          <w:type w:val="continuous"/>
          <w:pgSz w:w="12240" w:h="15840" w:code="1"/>
          <w:pgMar w:top="720" w:right="720" w:bottom="720" w:left="720" w:header="432" w:footer="720" w:gutter="0"/>
          <w:pgNumType w:start="1" w:chapStyle="1"/>
          <w:cols w:space="720"/>
          <w:docGrid w:linePitch="360"/>
        </w:sectPr>
      </w:pPr>
      <w:r>
        <w:rPr>
          <w:sz w:val="22"/>
        </w:rPr>
        <w:br/>
      </w:r>
    </w:p>
    <w:p w:rsidR="00266AA5" w:rsidRDefault="009D1039">
      <w:pPr>
        <w:pStyle w:val="Heading2"/>
        <w:rPr>
          <w:sz w:val="22"/>
        </w:rPr>
      </w:pPr>
      <w:r>
        <w:rPr>
          <w:sz w:val="22"/>
        </w:rPr>
        <w:lastRenderedPageBreak/>
        <w:t>Goods (</w:t>
      </w:r>
      <w:r w:rsidR="00266AA5">
        <w:rPr>
          <w:sz w:val="22"/>
        </w:rPr>
        <w:t>Census Basis</w:t>
      </w:r>
      <w:r>
        <w:rPr>
          <w:sz w:val="22"/>
        </w:rPr>
        <w:t>)</w:t>
      </w:r>
    </w:p>
    <w:p w:rsidR="00266AA5" w:rsidRDefault="00266AA5">
      <w:pPr>
        <w:pStyle w:val="BodyText"/>
      </w:pPr>
      <w:r>
        <w:t xml:space="preserve">The Census basis goods data are compiled from the documents collected by the U.S. Customs and Border Protection and reflect the movement of goods between foreign countries and the 50 states, the </w:t>
      </w:r>
      <w:smartTag w:uri="urn:schemas-microsoft-com:office:smarttags" w:element="State">
        <w:r>
          <w:t>District of Columbia</w:t>
        </w:r>
      </w:smartTag>
      <w:r>
        <w:t xml:space="preserve">, </w:t>
      </w:r>
      <w:smartTag w:uri="urn:schemas-microsoft-com:office:smarttags" w:element="place">
        <w:r>
          <w:t>Puerto Rico</w:t>
        </w:r>
      </w:smartTag>
      <w:r>
        <w:t>,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rsidR="00266AA5" w:rsidRDefault="00266AA5">
      <w:pPr>
        <w:pStyle w:val="BodyTextIndent"/>
        <w:spacing w:after="240"/>
        <w:ind w:left="0"/>
      </w:pPr>
      <w:r>
        <w:t xml:space="preserve">For imports, the value reported is the U.S. Customs and Border Protection appraised value of merchandise; generally, the price paid for merchandise for export to the </w:t>
      </w:r>
      <w:smartTag w:uri="urn:schemas-microsoft-com:office:smarttags" w:element="place">
        <w:smartTag w:uri="urn:schemas-microsoft-com:office:smarttags" w:element="country-region">
          <w:r>
            <w:t>United States</w:t>
          </w:r>
        </w:smartTag>
      </w:smartTag>
      <w:r>
        <w:t xml:space="preserve">.  Import duties, freight, insurance, and other charges incurred in bringing merchandise to the </w:t>
      </w:r>
      <w:smartTag w:uri="urn:schemas-microsoft-com:office:smarttags" w:element="place">
        <w:smartTag w:uri="urn:schemas-microsoft-com:office:smarttags" w:element="country-region">
          <w:r>
            <w:t>United States</w:t>
          </w:r>
        </w:smartTag>
      </w:smartTag>
      <w:r>
        <w:t xml:space="preserve"> are excluded.</w:t>
      </w:r>
    </w:p>
    <w:p w:rsidR="00266AA5" w:rsidRDefault="00266AA5">
      <w:pPr>
        <w:pStyle w:val="BodyText"/>
      </w:pPr>
      <w:r>
        <w:t>Exports are valued at the f.a.s.</w:t>
      </w:r>
      <w:r w:rsidR="00951692">
        <w:t xml:space="preserve"> (</w:t>
      </w:r>
      <w:r>
        <w:t>free alongside ship</w:t>
      </w:r>
      <w:r w:rsidR="00951692">
        <w:t>)</w:t>
      </w:r>
      <w:r>
        <w:t xml:space="preserve"> value of merchandise at the </w:t>
      </w:r>
      <w:smartTag w:uri="urn:schemas-microsoft-com:office:smarttags" w:element="country-region">
        <w:r>
          <w:t>U.S.</w:t>
        </w:r>
      </w:smartTag>
      <w:r>
        <w:t xml:space="preserve"> port of export, based on the transaction price including inland freight, insurance, and other charges incurred in placing the merchandise alongside the carrier at the </w:t>
      </w:r>
      <w:smartTag w:uri="urn:schemas-microsoft-com:office:smarttags" w:element="place">
        <w:smartTag w:uri="urn:schemas-microsoft-com:office:smarttags" w:element="country-region">
          <w:r>
            <w:t>U.S.</w:t>
          </w:r>
        </w:smartTag>
      </w:smartTag>
      <w:r>
        <w:t xml:space="preserve"> port of exportation.</w:t>
      </w:r>
    </w:p>
    <w:p w:rsidR="00EA0863" w:rsidRDefault="00CC6BD7" w:rsidP="00C23255">
      <w:pPr>
        <w:pStyle w:val="BodyText2"/>
        <w:rPr>
          <w:sz w:val="20"/>
        </w:rPr>
      </w:pPr>
      <w:r w:rsidRPr="00CC6BD7">
        <w:rPr>
          <w:b/>
          <w:sz w:val="20"/>
        </w:rPr>
        <w:t>Revision policy for goods on a Census basis:</w:t>
      </w:r>
      <w:r>
        <w:rPr>
          <w:sz w:val="20"/>
        </w:rPr>
        <w:t xml:space="preserve">  </w:t>
      </w:r>
      <w:r w:rsidR="00266AA5">
        <w:rPr>
          <w:sz w:val="20"/>
        </w:rPr>
        <w:t xml:space="preserve">Monthly data include actual month's transactions as well as a small number of transactions for previous months.  Each month </w:t>
      </w:r>
      <w:r w:rsidR="00C96FE6">
        <w:rPr>
          <w:sz w:val="20"/>
        </w:rPr>
        <w:t xml:space="preserve">the U.S. Census Bureau </w:t>
      </w:r>
      <w:r w:rsidR="00266AA5">
        <w:rPr>
          <w:sz w:val="20"/>
        </w:rPr>
        <w:t>revise</w:t>
      </w:r>
      <w:r w:rsidR="00C96FE6">
        <w:rPr>
          <w:sz w:val="20"/>
        </w:rPr>
        <w:t>s</w:t>
      </w:r>
      <w:r w:rsidR="00266AA5">
        <w:rPr>
          <w:sz w:val="20"/>
        </w:rPr>
        <w:t xml:space="preserve"> the aggregate seasonally adjusted (current and </w:t>
      </w:r>
      <w:r w:rsidR="003A232A">
        <w:rPr>
          <w:sz w:val="20"/>
        </w:rPr>
        <w:t xml:space="preserve">real </w:t>
      </w:r>
      <w:r w:rsidR="00266AA5">
        <w:rPr>
          <w:sz w:val="20"/>
        </w:rPr>
        <w:t>chain</w:t>
      </w:r>
      <w:r w:rsidR="003A232A">
        <w:rPr>
          <w:sz w:val="20"/>
        </w:rPr>
        <w:t>ed</w:t>
      </w:r>
      <w:r w:rsidR="00266AA5">
        <w:rPr>
          <w:sz w:val="20"/>
        </w:rPr>
        <w:t xml:space="preserve"> dollar) and unadjusted export, import</w:t>
      </w:r>
      <w:r w:rsidR="00602B4B">
        <w:rPr>
          <w:sz w:val="20"/>
        </w:rPr>
        <w:t>,</w:t>
      </w:r>
      <w:r w:rsidR="00266AA5">
        <w:rPr>
          <w:sz w:val="20"/>
        </w:rPr>
        <w:t xml:space="preserve"> and trade balance figures, as well as the end-use totals for the prior month.  SITC and country detail data are not revised monthly.  The timing adjustment shown in Exhibit 14 is the difference between monthly data as originally reported and as recompiled. </w:t>
      </w:r>
      <w:r w:rsidR="000D20BD">
        <w:rPr>
          <w:sz w:val="20"/>
        </w:rPr>
        <w:t xml:space="preserve"> </w:t>
      </w:r>
      <w:r w:rsidR="00266AA5">
        <w:rPr>
          <w:sz w:val="20"/>
        </w:rPr>
        <w:t xml:space="preserve">Quarterly revisions are made to the </w:t>
      </w:r>
      <w:r w:rsidR="003A232A">
        <w:rPr>
          <w:sz w:val="20"/>
        </w:rPr>
        <w:t xml:space="preserve">real </w:t>
      </w:r>
      <w:r w:rsidR="00266AA5">
        <w:rPr>
          <w:sz w:val="20"/>
        </w:rPr>
        <w:t>chain</w:t>
      </w:r>
      <w:r w:rsidR="003A232A">
        <w:rPr>
          <w:sz w:val="20"/>
        </w:rPr>
        <w:t>ed</w:t>
      </w:r>
      <w:r w:rsidR="00266AA5">
        <w:rPr>
          <w:sz w:val="20"/>
        </w:rPr>
        <w:t xml:space="preserve">-dollar series. </w:t>
      </w:r>
      <w:r w:rsidR="0032319D">
        <w:rPr>
          <w:sz w:val="20"/>
        </w:rPr>
        <w:t xml:space="preserve"> </w:t>
      </w:r>
      <w:r w:rsidR="00266AA5">
        <w:rPr>
          <w:sz w:val="20"/>
        </w:rPr>
        <w:t>In the last month of each quarter, the current and previous quarter</w:t>
      </w:r>
      <w:r w:rsidR="00602B4B">
        <w:rPr>
          <w:sz w:val="20"/>
        </w:rPr>
        <w:t>s</w:t>
      </w:r>
      <w:r w:rsidR="00266AA5">
        <w:rPr>
          <w:sz w:val="20"/>
        </w:rPr>
        <w:t xml:space="preserve"> are revised to incorporate the Bureau of Labor Statistics’ monthly revisions</w:t>
      </w:r>
      <w:r w:rsidR="00C96FE6">
        <w:rPr>
          <w:sz w:val="20"/>
        </w:rPr>
        <w:t xml:space="preserve"> to price indexes</w:t>
      </w:r>
      <w:r w:rsidR="005D6E90">
        <w:rPr>
          <w:sz w:val="20"/>
        </w:rPr>
        <w:t xml:space="preserve">, which are used </w:t>
      </w:r>
      <w:r w:rsidR="00C96FE6">
        <w:rPr>
          <w:sz w:val="20"/>
        </w:rPr>
        <w:t xml:space="preserve">to produce the </w:t>
      </w:r>
      <w:r w:rsidR="00722E6E">
        <w:rPr>
          <w:sz w:val="20"/>
        </w:rPr>
        <w:t xml:space="preserve">real </w:t>
      </w:r>
      <w:r w:rsidR="00C96FE6">
        <w:rPr>
          <w:sz w:val="20"/>
        </w:rPr>
        <w:t>chain</w:t>
      </w:r>
      <w:r w:rsidR="00E15CE4">
        <w:rPr>
          <w:sz w:val="20"/>
        </w:rPr>
        <w:t>ed</w:t>
      </w:r>
      <w:r w:rsidR="00C96FE6">
        <w:rPr>
          <w:sz w:val="20"/>
        </w:rPr>
        <w:t xml:space="preserve">-dollar </w:t>
      </w:r>
      <w:r w:rsidR="00AF24F1">
        <w:rPr>
          <w:sz w:val="20"/>
        </w:rPr>
        <w:t>series</w:t>
      </w:r>
      <w:r w:rsidR="00266AA5">
        <w:rPr>
          <w:sz w:val="20"/>
        </w:rPr>
        <w:t xml:space="preserve"> and </w:t>
      </w:r>
      <w:r w:rsidR="00C96FE6">
        <w:rPr>
          <w:sz w:val="20"/>
        </w:rPr>
        <w:t xml:space="preserve">to </w:t>
      </w:r>
      <w:r w:rsidR="00266AA5">
        <w:rPr>
          <w:sz w:val="20"/>
        </w:rPr>
        <w:t xml:space="preserve">align Census </w:t>
      </w:r>
      <w:r w:rsidR="00FB32EA">
        <w:rPr>
          <w:sz w:val="20"/>
        </w:rPr>
        <w:t xml:space="preserve">data with data published by </w:t>
      </w:r>
      <w:r w:rsidR="00266AA5">
        <w:rPr>
          <w:sz w:val="20"/>
        </w:rPr>
        <w:t>the U.S. Bureau of Economic Analysis</w:t>
      </w:r>
      <w:r w:rsidR="00FB32EA">
        <w:rPr>
          <w:sz w:val="20"/>
        </w:rPr>
        <w:t xml:space="preserve"> in the National Income and Product Accounts</w:t>
      </w:r>
      <w:r w:rsidR="00266AA5">
        <w:rPr>
          <w:sz w:val="20"/>
        </w:rPr>
        <w:t>.</w:t>
      </w:r>
      <w:r w:rsidR="00F05FE1">
        <w:rPr>
          <w:sz w:val="20"/>
        </w:rPr>
        <w:t xml:space="preserve"> </w:t>
      </w:r>
      <w:r w:rsidR="0032319D">
        <w:rPr>
          <w:sz w:val="20"/>
        </w:rPr>
        <w:t xml:space="preserve"> </w:t>
      </w:r>
      <w:r w:rsidR="00266AA5">
        <w:rPr>
          <w:sz w:val="20"/>
        </w:rPr>
        <w:t>Annual revisions for the months are made in June to reflect corrections received subsequent to the monthly revisions.</w:t>
      </w:r>
      <w:r w:rsidR="007A4518">
        <w:rPr>
          <w:sz w:val="20"/>
        </w:rPr>
        <w:t xml:space="preserve"> </w:t>
      </w:r>
      <w:r w:rsidR="00266AA5">
        <w:rPr>
          <w:sz w:val="20"/>
        </w:rPr>
        <w:t xml:space="preserve"> These revisions are reflected in totals, end-use, SITC, and country summary data. </w:t>
      </w:r>
      <w:r w:rsidR="00A6470E">
        <w:rPr>
          <w:sz w:val="20"/>
        </w:rPr>
        <w:t xml:space="preserve"> </w:t>
      </w:r>
      <w:r w:rsidR="00266AA5">
        <w:rPr>
          <w:sz w:val="20"/>
        </w:rPr>
        <w:t xml:space="preserve">The monthly end-use, commodity, and country and area data presented </w:t>
      </w:r>
      <w:r w:rsidR="00C96FE6">
        <w:rPr>
          <w:sz w:val="20"/>
        </w:rPr>
        <w:t xml:space="preserve">in Exhibits 6-18 </w:t>
      </w:r>
      <w:r w:rsidR="00266AA5">
        <w:rPr>
          <w:sz w:val="20"/>
        </w:rPr>
        <w:t>in this release are on a Census basis.</w:t>
      </w:r>
    </w:p>
    <w:p w:rsidR="00EA0863" w:rsidRDefault="00EA0863" w:rsidP="00C23255">
      <w:pPr>
        <w:pStyle w:val="BodyText2"/>
        <w:rPr>
          <w:sz w:val="20"/>
        </w:rPr>
      </w:pPr>
    </w:p>
    <w:p w:rsidR="00EA0863" w:rsidRDefault="00EA0863" w:rsidP="00C23255">
      <w:pPr>
        <w:pStyle w:val="BodyText2"/>
        <w:rPr>
          <w:sz w:val="20"/>
        </w:rPr>
      </w:pPr>
    </w:p>
    <w:p w:rsidR="00EA0863" w:rsidRDefault="00EA0863" w:rsidP="00C23255">
      <w:pPr>
        <w:pStyle w:val="BodyText2"/>
        <w:rPr>
          <w:sz w:val="20"/>
        </w:rPr>
      </w:pPr>
    </w:p>
    <w:p w:rsidR="00266AA5" w:rsidRDefault="00266AA5" w:rsidP="00EA0863">
      <w:pPr>
        <w:pStyle w:val="BodyText2"/>
        <w:jc w:val="left"/>
        <w:rPr>
          <w:i/>
        </w:rPr>
      </w:pPr>
      <w:r w:rsidRPr="001B5FC0">
        <w:rPr>
          <w:b/>
          <w:i/>
        </w:rPr>
        <w:lastRenderedPageBreak/>
        <w:t xml:space="preserve">U.S./CANADA DATA EXCHANGE AND </w:t>
      </w:r>
      <w:r w:rsidR="00E130BC" w:rsidRPr="001B5FC0">
        <w:rPr>
          <w:b/>
          <w:i/>
        </w:rPr>
        <w:t>S</w:t>
      </w:r>
      <w:r w:rsidRPr="001B5FC0">
        <w:rPr>
          <w:b/>
          <w:i/>
        </w:rPr>
        <w:t>UBSTITUTION</w:t>
      </w:r>
    </w:p>
    <w:p w:rsidR="00266AA5" w:rsidRDefault="00266AA5">
      <w:pPr>
        <w:pStyle w:val="BodyText"/>
        <w:rPr>
          <w:sz w:val="21"/>
        </w:rPr>
      </w:pPr>
      <w:r>
        <w:t xml:space="preserve">The data for </w:t>
      </w:r>
      <w:smartTag w:uri="urn:schemas-microsoft-com:office:smarttags" w:element="country-region">
        <w:r>
          <w:t>U.S.</w:t>
        </w:r>
      </w:smartTag>
      <w:r>
        <w:t xml:space="preserve"> exports to </w:t>
      </w:r>
      <w:smartTag w:uri="urn:schemas-microsoft-com:office:smarttags" w:element="country-region">
        <w:r>
          <w:t>Canada</w:t>
        </w:r>
      </w:smartTag>
      <w:r>
        <w:t xml:space="preserve"> are derived from import data compiled by </w:t>
      </w:r>
      <w:smartTag w:uri="urn:schemas-microsoft-com:office:smarttags" w:element="place">
        <w:smartTag w:uri="urn:schemas-microsoft-com:office:smarttags" w:element="country-region">
          <w:r>
            <w:t>Canada</w:t>
          </w:r>
        </w:smartTag>
      </w:smartTag>
      <w:r>
        <w:t xml:space="preserve">.  The use of </w:t>
      </w:r>
      <w:smartTag w:uri="urn:schemas-microsoft-com:office:smarttags" w:element="country-region">
        <w:r>
          <w:t>Canada</w:t>
        </w:r>
      </w:smartTag>
      <w:r>
        <w:t>'s</w:t>
      </w:r>
      <w:r>
        <w:rPr>
          <w:sz w:val="21"/>
        </w:rPr>
        <w:t xml:space="preserve"> </w:t>
      </w:r>
      <w:r>
        <w:t>import data to</w:t>
      </w:r>
      <w:r>
        <w:rPr>
          <w:sz w:val="21"/>
        </w:rPr>
        <w:t xml:space="preserve"> </w:t>
      </w:r>
      <w:r>
        <w:t xml:space="preserve">produce </w:t>
      </w:r>
      <w:smartTag w:uri="urn:schemas-microsoft-com:office:smarttags" w:element="place">
        <w:smartTag w:uri="urn:schemas-microsoft-com:office:smarttags" w:element="country-region">
          <w:r>
            <w:t>U.S.</w:t>
          </w:r>
        </w:smartTag>
      </w:smartTag>
      <w:r>
        <w:t xml:space="preserve"> export data requires several alignments in order to compare the two series</w:t>
      </w:r>
      <w:r>
        <w:rPr>
          <w:sz w:val="21"/>
        </w:rPr>
        <w:t>.</w:t>
      </w:r>
    </w:p>
    <w:p w:rsidR="00266AA5" w:rsidRDefault="00266AA5">
      <w:pPr>
        <w:numPr>
          <w:ilvl w:val="0"/>
          <w:numId w:val="1"/>
        </w:numPr>
        <w:spacing w:after="240"/>
        <w:jc w:val="both"/>
        <w:rPr>
          <w:sz w:val="20"/>
        </w:rPr>
      </w:pPr>
      <w:r>
        <w:rPr>
          <w:i/>
          <w:iCs/>
          <w:sz w:val="20"/>
        </w:rPr>
        <w:t>Coverage</w:t>
      </w:r>
      <w:r>
        <w:rPr>
          <w:sz w:val="20"/>
        </w:rPr>
        <w:t xml:space="preserve"> </w:t>
      </w:r>
      <w:r w:rsidR="00C63843">
        <w:rPr>
          <w:sz w:val="20"/>
        </w:rPr>
        <w:t>-</w:t>
      </w:r>
      <w:r>
        <w:rPr>
          <w:sz w:val="20"/>
        </w:rPr>
        <w:t xml:space="preserve"> Canadian imports are based on country of origin.  </w:t>
      </w:r>
      <w:smartTag w:uri="urn:schemas-microsoft-com:office:smarttags" w:element="place">
        <w:smartTag w:uri="urn:schemas-microsoft-com:office:smarttags" w:element="country-region">
          <w:r>
            <w:rPr>
              <w:sz w:val="20"/>
            </w:rPr>
            <w:t>U.S.</w:t>
          </w:r>
        </w:smartTag>
      </w:smartTag>
      <w:r>
        <w:rPr>
          <w:sz w:val="20"/>
        </w:rPr>
        <w:t xml:space="preserve"> goods shipped from a third country are included.  </w:t>
      </w:r>
      <w:smartTag w:uri="urn:schemas-microsoft-com:office:smarttags" w:element="place">
        <w:smartTag w:uri="urn:schemas-microsoft-com:office:smarttags" w:element="country-region">
          <w:r>
            <w:rPr>
              <w:sz w:val="20"/>
            </w:rPr>
            <w:t>U.S.</w:t>
          </w:r>
        </w:smartTag>
      </w:smartTag>
      <w:r>
        <w:rPr>
          <w:sz w:val="20"/>
        </w:rPr>
        <w:t xml:space="preserve"> exports exclude these foreign shipments. </w:t>
      </w:r>
      <w:r w:rsidR="000D20BD">
        <w:rPr>
          <w:sz w:val="20"/>
        </w:rPr>
        <w:t xml:space="preserve"> </w:t>
      </w:r>
      <w:r w:rsidR="00F85F58">
        <w:rPr>
          <w:sz w:val="20"/>
        </w:rPr>
        <w:t xml:space="preserve">For </w:t>
      </w:r>
      <w:r w:rsidR="00722E6E">
        <w:rPr>
          <w:sz w:val="20"/>
        </w:rPr>
        <w:t xml:space="preserve">April </w:t>
      </w:r>
      <w:r>
        <w:rPr>
          <w:sz w:val="20"/>
        </w:rPr>
        <w:t>201</w:t>
      </w:r>
      <w:r w:rsidR="00630C16">
        <w:rPr>
          <w:sz w:val="20"/>
        </w:rPr>
        <w:t>2</w:t>
      </w:r>
      <w:r>
        <w:rPr>
          <w:sz w:val="20"/>
        </w:rPr>
        <w:t xml:space="preserve">, these shipments totaled </w:t>
      </w:r>
      <w:r w:rsidR="00EB2BA7">
        <w:rPr>
          <w:sz w:val="20"/>
        </w:rPr>
        <w:t>$170.7</w:t>
      </w:r>
      <w:r w:rsidR="00722E6E">
        <w:rPr>
          <w:sz w:val="20"/>
        </w:rPr>
        <w:t xml:space="preserve"> </w:t>
      </w:r>
      <w:r>
        <w:rPr>
          <w:sz w:val="20"/>
        </w:rPr>
        <w:t xml:space="preserve">million.  </w:t>
      </w:r>
      <w:smartTag w:uri="urn:schemas-microsoft-com:office:smarttags" w:element="country-region">
        <w:r>
          <w:rPr>
            <w:sz w:val="20"/>
          </w:rPr>
          <w:t>U.S.</w:t>
        </w:r>
      </w:smartTag>
      <w:r>
        <w:rPr>
          <w:sz w:val="20"/>
        </w:rPr>
        <w:t xml:space="preserve"> export coverage also excludes </w:t>
      </w:r>
      <w:smartTag w:uri="urn:schemas-microsoft-com:office:smarttags" w:element="country-region">
        <w:r w:rsidR="00BD6014">
          <w:rPr>
            <w:sz w:val="20"/>
          </w:rPr>
          <w:t>U.S.</w:t>
        </w:r>
      </w:smartTag>
      <w:r>
        <w:rPr>
          <w:sz w:val="20"/>
        </w:rPr>
        <w:t xml:space="preserve"> postal shipments</w:t>
      </w:r>
      <w:r w:rsidR="00BD6014">
        <w:rPr>
          <w:sz w:val="20"/>
        </w:rPr>
        <w:t xml:space="preserve"> to </w:t>
      </w:r>
      <w:smartTag w:uri="urn:schemas-microsoft-com:office:smarttags" w:element="place">
        <w:smartTag w:uri="urn:schemas-microsoft-com:office:smarttags" w:element="country-region">
          <w:r w:rsidR="00BD6014">
            <w:rPr>
              <w:sz w:val="20"/>
            </w:rPr>
            <w:t>Canada</w:t>
          </w:r>
        </w:smartTag>
      </w:smartTag>
      <w:r w:rsidR="005E5B5D">
        <w:rPr>
          <w:sz w:val="20"/>
        </w:rPr>
        <w:t xml:space="preserve">.  For </w:t>
      </w:r>
      <w:r w:rsidR="00722E6E">
        <w:rPr>
          <w:sz w:val="20"/>
        </w:rPr>
        <w:t xml:space="preserve">April </w:t>
      </w:r>
      <w:r>
        <w:rPr>
          <w:sz w:val="20"/>
        </w:rPr>
        <w:t>201</w:t>
      </w:r>
      <w:r w:rsidR="006A2E42">
        <w:rPr>
          <w:sz w:val="20"/>
        </w:rPr>
        <w:t>2</w:t>
      </w:r>
      <w:r>
        <w:rPr>
          <w:sz w:val="20"/>
        </w:rPr>
        <w:t xml:space="preserve">, these shipments totaled </w:t>
      </w:r>
      <w:r w:rsidR="003F7FCE">
        <w:rPr>
          <w:sz w:val="20"/>
        </w:rPr>
        <w:t>$</w:t>
      </w:r>
      <w:r w:rsidR="00EB2BA7">
        <w:rPr>
          <w:sz w:val="20"/>
        </w:rPr>
        <w:t>25.4</w:t>
      </w:r>
      <w:r w:rsidR="00FD4953">
        <w:rPr>
          <w:sz w:val="20"/>
        </w:rPr>
        <w:t xml:space="preserve"> </w:t>
      </w:r>
      <w:r>
        <w:rPr>
          <w:sz w:val="20"/>
        </w:rPr>
        <w:t>million.</w:t>
      </w:r>
    </w:p>
    <w:p w:rsidR="00266AA5" w:rsidRDefault="00266AA5">
      <w:pPr>
        <w:pStyle w:val="BodyTextIndent2"/>
      </w:pPr>
      <w:r>
        <w:t xml:space="preserve">U.S. import coverage includes shipments of railcars and locomotives from Canada.  Effective with January 2004 statistics, </w:t>
      </w:r>
      <w:smartTag w:uri="urn:schemas-microsoft-com:office:smarttags" w:element="country-region">
        <w:r>
          <w:t>Canada</w:t>
        </w:r>
      </w:smartTag>
      <w:r>
        <w:t xml:space="preserve"> excludes these shipments from its goods exports to the </w:t>
      </w:r>
      <w:smartTag w:uri="urn:schemas-microsoft-com:office:smarttags" w:element="place">
        <w:smartTag w:uri="urn:schemas-microsoft-com:office:smarttags" w:element="country-region">
          <w:r>
            <w:t>United States</w:t>
          </w:r>
        </w:smartTag>
      </w:smartTag>
      <w:r>
        <w:t>, therefore creating coverage differences between the two countries for these goods.</w:t>
      </w:r>
    </w:p>
    <w:p w:rsidR="00266AA5" w:rsidRDefault="00266AA5">
      <w:pPr>
        <w:numPr>
          <w:ilvl w:val="0"/>
          <w:numId w:val="1"/>
        </w:numPr>
        <w:spacing w:after="240"/>
        <w:jc w:val="both"/>
        <w:rPr>
          <w:sz w:val="20"/>
        </w:rPr>
      </w:pPr>
      <w:r>
        <w:rPr>
          <w:i/>
          <w:iCs/>
          <w:sz w:val="20"/>
        </w:rPr>
        <w:t>Valuation</w:t>
      </w:r>
      <w:r>
        <w:rPr>
          <w:sz w:val="20"/>
        </w:rPr>
        <w:t xml:space="preserve"> - Canadian imports are valued at the point of </w:t>
      </w:r>
      <w:r w:rsidRPr="00B24E79">
        <w:rPr>
          <w:sz w:val="20"/>
        </w:rPr>
        <w:t xml:space="preserve">origin in the </w:t>
      </w:r>
      <w:smartTag w:uri="urn:schemas-microsoft-com:office:smarttags" w:element="place">
        <w:smartTag w:uri="urn:schemas-microsoft-com:office:smarttags" w:element="country-region">
          <w:r w:rsidRPr="00B24E79">
            <w:rPr>
              <w:sz w:val="20"/>
            </w:rPr>
            <w:t>United States</w:t>
          </w:r>
        </w:smartTag>
      </w:smartTag>
      <w:r w:rsidRPr="00B24E79">
        <w:rPr>
          <w:sz w:val="20"/>
        </w:rPr>
        <w:t>.  However, U.S. exports are</w:t>
      </w:r>
      <w:r>
        <w:rPr>
          <w:sz w:val="20"/>
        </w:rPr>
        <w:t xml:space="preserve"> valued at the port of exit in the United States and include inland freight charges, making the U.S. export value slightly larger</w:t>
      </w:r>
      <w:r w:rsidR="00BA3948">
        <w:rPr>
          <w:sz w:val="20"/>
        </w:rPr>
        <w:t xml:space="preserve"> than the Canadian import value</w:t>
      </w:r>
      <w:r w:rsidR="00142FB9">
        <w:rPr>
          <w:sz w:val="20"/>
        </w:rPr>
        <w:t xml:space="preserve">.  </w:t>
      </w:r>
      <w:r>
        <w:rPr>
          <w:sz w:val="20"/>
        </w:rPr>
        <w:t>Canada requires inland freight to be reported</w:t>
      </w:r>
      <w:r w:rsidR="00BA3948">
        <w:rPr>
          <w:sz w:val="20"/>
        </w:rPr>
        <w:t xml:space="preserve"> separate</w:t>
      </w:r>
      <w:r w:rsidR="0083022F">
        <w:rPr>
          <w:sz w:val="20"/>
        </w:rPr>
        <w:t>ly</w:t>
      </w:r>
      <w:r w:rsidR="00BA3948">
        <w:rPr>
          <w:sz w:val="20"/>
        </w:rPr>
        <w:t xml:space="preserve"> from the value of the goods</w:t>
      </w:r>
      <w:r>
        <w:rPr>
          <w:sz w:val="20"/>
        </w:rPr>
        <w:t xml:space="preserve">. </w:t>
      </w:r>
      <w:r w:rsidR="00951692">
        <w:rPr>
          <w:sz w:val="20"/>
        </w:rPr>
        <w:t xml:space="preserve"> </w:t>
      </w:r>
      <w:r>
        <w:rPr>
          <w:sz w:val="20"/>
        </w:rPr>
        <w:t xml:space="preserve">Combining the inland freight and the Canadian reported import value provides a consistent valuation for all </w:t>
      </w:r>
      <w:smartTag w:uri="urn:schemas-microsoft-com:office:smarttags" w:element="place">
        <w:smartTag w:uri="urn:schemas-microsoft-com:office:smarttags" w:element="country-region">
          <w:r>
            <w:rPr>
              <w:sz w:val="20"/>
            </w:rPr>
            <w:t>U.S.</w:t>
          </w:r>
        </w:smartTag>
      </w:smartTag>
      <w:r>
        <w:rPr>
          <w:sz w:val="20"/>
        </w:rPr>
        <w:t xml:space="preserve"> exports.  Inland freight charges for </w:t>
      </w:r>
      <w:r w:rsidR="00722E6E">
        <w:rPr>
          <w:sz w:val="20"/>
        </w:rPr>
        <w:t xml:space="preserve">April </w:t>
      </w:r>
      <w:r w:rsidR="00891123">
        <w:rPr>
          <w:sz w:val="20"/>
        </w:rPr>
        <w:t>201</w:t>
      </w:r>
      <w:r w:rsidR="002D4136">
        <w:rPr>
          <w:sz w:val="20"/>
        </w:rPr>
        <w:t>2</w:t>
      </w:r>
      <w:r>
        <w:rPr>
          <w:sz w:val="20"/>
        </w:rPr>
        <w:t xml:space="preserve"> accounted for </w:t>
      </w:r>
      <w:r w:rsidR="00EB2BA7">
        <w:rPr>
          <w:sz w:val="20"/>
        </w:rPr>
        <w:t>2.4</w:t>
      </w:r>
      <w:r w:rsidR="000C33CD">
        <w:rPr>
          <w:sz w:val="20"/>
        </w:rPr>
        <w:t xml:space="preserve"> </w:t>
      </w:r>
      <w:r>
        <w:rPr>
          <w:sz w:val="20"/>
        </w:rPr>
        <w:t>percent of the value of U.S. exports to Canada.</w:t>
      </w:r>
    </w:p>
    <w:p w:rsidR="00266AA5" w:rsidRPr="001B4A67" w:rsidRDefault="00266AA5" w:rsidP="001B4A67">
      <w:pPr>
        <w:numPr>
          <w:ilvl w:val="0"/>
          <w:numId w:val="1"/>
        </w:numPr>
        <w:spacing w:after="240"/>
        <w:jc w:val="both"/>
        <w:rPr>
          <w:sz w:val="20"/>
        </w:rPr>
      </w:pPr>
      <w:proofErr w:type="spellStart"/>
      <w:r>
        <w:rPr>
          <w:i/>
          <w:iCs/>
          <w:sz w:val="20"/>
        </w:rPr>
        <w:t>Reexports</w:t>
      </w:r>
      <w:proofErr w:type="spellEnd"/>
      <w:r w:rsidR="00C63843">
        <w:rPr>
          <w:iCs/>
          <w:sz w:val="20"/>
        </w:rPr>
        <w:t xml:space="preserve"> </w:t>
      </w:r>
      <w:r w:rsidR="00753078">
        <w:rPr>
          <w:iCs/>
          <w:sz w:val="20"/>
        </w:rPr>
        <w:t xml:space="preserve">- </w:t>
      </w:r>
      <w:r w:rsidR="00A50315">
        <w:rPr>
          <w:iCs/>
          <w:sz w:val="20"/>
        </w:rPr>
        <w:t xml:space="preserve">Unlike Canadian imports, which are based on country of origin, </w:t>
      </w:r>
      <w:r>
        <w:rPr>
          <w:sz w:val="20"/>
        </w:rPr>
        <w:t xml:space="preserve">U.S. exports include </w:t>
      </w:r>
      <w:proofErr w:type="spellStart"/>
      <w:r>
        <w:rPr>
          <w:sz w:val="20"/>
        </w:rPr>
        <w:t>reexports</w:t>
      </w:r>
      <w:proofErr w:type="spellEnd"/>
      <w:r>
        <w:rPr>
          <w:sz w:val="20"/>
        </w:rPr>
        <w:t xml:space="preserve"> of foreign goods.</w:t>
      </w:r>
      <w:r w:rsidR="00A50315">
        <w:rPr>
          <w:sz w:val="20"/>
        </w:rPr>
        <w:t xml:space="preserve">  </w:t>
      </w:r>
      <w:r w:rsidR="000C168D">
        <w:rPr>
          <w:sz w:val="20"/>
        </w:rPr>
        <w:t>Therefore, t</w:t>
      </w:r>
      <w:r w:rsidR="0069515F">
        <w:rPr>
          <w:sz w:val="20"/>
        </w:rPr>
        <w:t xml:space="preserve">he </w:t>
      </w:r>
      <w:r>
        <w:rPr>
          <w:sz w:val="20"/>
        </w:rPr>
        <w:t xml:space="preserve">aggregate </w:t>
      </w:r>
      <w:smartTag w:uri="urn:schemas-microsoft-com:office:smarttags" w:element="place">
        <w:smartTag w:uri="urn:schemas-microsoft-com:office:smarttags" w:element="country-region">
          <w:r>
            <w:rPr>
              <w:sz w:val="20"/>
            </w:rPr>
            <w:t>U.S.</w:t>
          </w:r>
        </w:smartTag>
      </w:smartTag>
      <w:r>
        <w:rPr>
          <w:sz w:val="20"/>
        </w:rPr>
        <w:t xml:space="preserve"> export figure is slightly larger</w:t>
      </w:r>
      <w:r w:rsidR="0069515F">
        <w:rPr>
          <w:sz w:val="20"/>
        </w:rPr>
        <w:t xml:space="preserve"> than the Canadian </w:t>
      </w:r>
      <w:r w:rsidR="003E3D91">
        <w:rPr>
          <w:sz w:val="20"/>
        </w:rPr>
        <w:t xml:space="preserve">import </w:t>
      </w:r>
      <w:r w:rsidR="000C168D">
        <w:rPr>
          <w:sz w:val="20"/>
        </w:rPr>
        <w:t>figure</w:t>
      </w:r>
      <w:r>
        <w:rPr>
          <w:sz w:val="20"/>
        </w:rPr>
        <w:t xml:space="preserve">.  For </w:t>
      </w:r>
      <w:r w:rsidR="00722E6E">
        <w:rPr>
          <w:sz w:val="20"/>
        </w:rPr>
        <w:t xml:space="preserve">April </w:t>
      </w:r>
      <w:r>
        <w:rPr>
          <w:sz w:val="20"/>
        </w:rPr>
        <w:t>201</w:t>
      </w:r>
      <w:r w:rsidR="002D4136">
        <w:rPr>
          <w:sz w:val="20"/>
        </w:rPr>
        <w:t>2</w:t>
      </w:r>
      <w:r>
        <w:rPr>
          <w:sz w:val="20"/>
        </w:rPr>
        <w:t xml:space="preserve">, </w:t>
      </w:r>
      <w:proofErr w:type="spellStart"/>
      <w:r>
        <w:rPr>
          <w:sz w:val="20"/>
        </w:rPr>
        <w:t>reexports</w:t>
      </w:r>
      <w:proofErr w:type="spellEnd"/>
      <w:r>
        <w:rPr>
          <w:sz w:val="20"/>
        </w:rPr>
        <w:t xml:space="preserve"> to Canada were </w:t>
      </w:r>
      <w:r w:rsidR="003F7FCE">
        <w:rPr>
          <w:sz w:val="20"/>
        </w:rPr>
        <w:t>$</w:t>
      </w:r>
      <w:r w:rsidR="00EB2BA7">
        <w:rPr>
          <w:sz w:val="20"/>
        </w:rPr>
        <w:t>3,835.0</w:t>
      </w:r>
      <w:r w:rsidR="00ED25A9">
        <w:rPr>
          <w:sz w:val="20"/>
        </w:rPr>
        <w:t xml:space="preserve"> </w:t>
      </w:r>
      <w:r w:rsidRPr="001B4A67">
        <w:rPr>
          <w:sz w:val="20"/>
        </w:rPr>
        <w:t>million.</w:t>
      </w:r>
    </w:p>
    <w:p w:rsidR="00266AA5" w:rsidRDefault="00266AA5">
      <w:pPr>
        <w:numPr>
          <w:ilvl w:val="0"/>
          <w:numId w:val="1"/>
        </w:numPr>
        <w:spacing w:after="240"/>
        <w:jc w:val="both"/>
        <w:rPr>
          <w:sz w:val="20"/>
        </w:rPr>
      </w:pPr>
      <w:r>
        <w:rPr>
          <w:i/>
          <w:iCs/>
          <w:sz w:val="20"/>
        </w:rPr>
        <w:t>Exchange Rate</w:t>
      </w:r>
      <w:r w:rsidR="00C63843">
        <w:rPr>
          <w:iCs/>
          <w:sz w:val="20"/>
        </w:rPr>
        <w:t xml:space="preserve"> - </w:t>
      </w:r>
      <w:r>
        <w:rPr>
          <w:sz w:val="20"/>
        </w:rPr>
        <w:t xml:space="preserve">Average monthly exchange rates are applied to convert the published data to </w:t>
      </w:r>
      <w:smartTag w:uri="urn:schemas-microsoft-com:office:smarttags" w:element="place">
        <w:smartTag w:uri="urn:schemas-microsoft-com:office:smarttags" w:element="country-region">
          <w:r>
            <w:rPr>
              <w:sz w:val="20"/>
            </w:rPr>
            <w:t>U.S.</w:t>
          </w:r>
        </w:smartTag>
      </w:smartTag>
      <w:r>
        <w:rPr>
          <w:sz w:val="20"/>
        </w:rPr>
        <w:t xml:space="preserve"> currency.</w:t>
      </w:r>
      <w:r w:rsidR="00A6470E">
        <w:rPr>
          <w:sz w:val="20"/>
        </w:rPr>
        <w:t xml:space="preserve"> </w:t>
      </w:r>
      <w:r>
        <w:rPr>
          <w:sz w:val="20"/>
        </w:rPr>
        <w:t xml:space="preserve"> For </w:t>
      </w:r>
      <w:r w:rsidR="00722E6E">
        <w:rPr>
          <w:sz w:val="20"/>
        </w:rPr>
        <w:t xml:space="preserve">April </w:t>
      </w:r>
      <w:r w:rsidR="00891123">
        <w:rPr>
          <w:sz w:val="20"/>
        </w:rPr>
        <w:t>2</w:t>
      </w:r>
      <w:r>
        <w:rPr>
          <w:sz w:val="20"/>
        </w:rPr>
        <w:t>01</w:t>
      </w:r>
      <w:r w:rsidR="002D4136">
        <w:rPr>
          <w:sz w:val="20"/>
        </w:rPr>
        <w:t>2</w:t>
      </w:r>
      <w:r w:rsidR="00E92C12">
        <w:rPr>
          <w:sz w:val="20"/>
        </w:rPr>
        <w:t xml:space="preserve">, the average exchange rate was </w:t>
      </w:r>
      <w:r w:rsidR="00EB2BA7">
        <w:rPr>
          <w:sz w:val="20"/>
        </w:rPr>
        <w:t>0.9928</w:t>
      </w:r>
      <w:r w:rsidR="00BB18DF">
        <w:rPr>
          <w:sz w:val="20"/>
        </w:rPr>
        <w:t xml:space="preserve"> </w:t>
      </w:r>
      <w:r>
        <w:rPr>
          <w:sz w:val="20"/>
        </w:rPr>
        <w:t>Canadian dollars per U.S. dollar.</w:t>
      </w:r>
    </w:p>
    <w:p w:rsidR="00266AA5" w:rsidRDefault="00266AA5">
      <w:pPr>
        <w:numPr>
          <w:ilvl w:val="0"/>
          <w:numId w:val="1"/>
        </w:numPr>
        <w:spacing w:after="240"/>
        <w:jc w:val="both"/>
        <w:rPr>
          <w:sz w:val="20"/>
        </w:rPr>
      </w:pPr>
      <w:r>
        <w:rPr>
          <w:i/>
          <w:iCs/>
          <w:sz w:val="20"/>
        </w:rPr>
        <w:t>Other</w:t>
      </w:r>
      <w:r>
        <w:rPr>
          <w:sz w:val="20"/>
        </w:rPr>
        <w:t xml:space="preserve"> - There are other minor differences, which are statistically insignificant, such as rounding error.</w:t>
      </w:r>
    </w:p>
    <w:p w:rsidR="00266AA5" w:rsidRDefault="00266AA5">
      <w:pPr>
        <w:pStyle w:val="Heading3"/>
        <w:rPr>
          <w:sz w:val="21"/>
        </w:rPr>
      </w:pPr>
      <w:r>
        <w:rPr>
          <w:sz w:val="21"/>
        </w:rPr>
        <w:br w:type="page"/>
      </w:r>
      <w:r>
        <w:rPr>
          <w:szCs w:val="20"/>
        </w:rPr>
        <w:lastRenderedPageBreak/>
        <w:t>Canadian Estimates</w:t>
      </w:r>
    </w:p>
    <w:p w:rsidR="00266AA5" w:rsidRDefault="00266AA5">
      <w:pPr>
        <w:pStyle w:val="BodyText"/>
      </w:pPr>
      <w:r>
        <w:t xml:space="preserve">Effective with January 2001 statistics, the current month data for exports to </w:t>
      </w:r>
      <w:smartTag w:uri="urn:schemas-microsoft-com:office:smarttags" w:element="place">
        <w:smartTag w:uri="urn:schemas-microsoft-com:office:smarttags" w:element="country-region">
          <w:r>
            <w:t>Canada</w:t>
          </w:r>
        </w:smartTag>
      </w:smartTag>
      <w:r>
        <w:t xml:space="preserve"> contain an estimate for late arrivals and corrections.  The following month, this estimate is replaced, in the press release tables only, with the actual value of late receipts and corrections.  This estimate improves the current month data for exports to Canada and treats late receipts for exports to Canada in a manner </w:t>
      </w:r>
      <w:r w:rsidR="00722E6E">
        <w:t xml:space="preserve">that is </w:t>
      </w:r>
      <w:r>
        <w:t>more consistent with the treatment of late receipts for exports to other countries.</w:t>
      </w:r>
    </w:p>
    <w:p w:rsidR="00266AA5" w:rsidRDefault="00266AA5">
      <w:pPr>
        <w:pStyle w:val="Heading3"/>
        <w:rPr>
          <w:rFonts w:cs="Times New Roman"/>
          <w:i/>
        </w:rPr>
      </w:pPr>
      <w:proofErr w:type="spellStart"/>
      <w:r>
        <w:rPr>
          <w:rFonts w:cs="Times New Roman"/>
          <w:i/>
        </w:rPr>
        <w:t>Nonsampling</w:t>
      </w:r>
      <w:proofErr w:type="spellEnd"/>
      <w:r>
        <w:rPr>
          <w:rFonts w:cs="Times New Roman"/>
          <w:i/>
        </w:rPr>
        <w:t xml:space="preserve"> errors</w:t>
      </w:r>
    </w:p>
    <w:p w:rsidR="00266AA5" w:rsidRDefault="00266AA5">
      <w:pPr>
        <w:pStyle w:val="BodyText"/>
      </w:pPr>
      <w:r>
        <w:t>The goods data are a complete enumeration of documents collected by the U.S. Customs and Border Protection and are not subject to sampling errors.  Quality assurance procedures</w:t>
      </w:r>
      <w:r>
        <w:rPr>
          <w:sz w:val="21"/>
        </w:rPr>
        <w:t xml:space="preserve"> </w:t>
      </w:r>
      <w:r>
        <w:t>are performed at every stage of collection, processing</w:t>
      </w:r>
      <w:r w:rsidR="008868A5">
        <w:t>,</w:t>
      </w:r>
      <w:r>
        <w:t xml:space="preserve"> and tabulation; however</w:t>
      </w:r>
      <w:r w:rsidR="00102E7D">
        <w:t>,</w:t>
      </w:r>
      <w:r>
        <w:t xml:space="preserve"> the data are still subject to several types of </w:t>
      </w:r>
      <w:proofErr w:type="spellStart"/>
      <w:r>
        <w:t>nonsampling</w:t>
      </w:r>
      <w:proofErr w:type="spellEnd"/>
      <w:r>
        <w:t xml:space="preserve"> errors.  The most significant of these include reporting errors, undocumented shipments, timeliness, data capture errors, and errors in the estimation</w:t>
      </w:r>
      <w:r>
        <w:rPr>
          <w:sz w:val="21"/>
        </w:rPr>
        <w:t xml:space="preserve"> </w:t>
      </w:r>
      <w:r>
        <w:t>of low-valued transactions.</w:t>
      </w:r>
    </w:p>
    <w:p w:rsidR="00266AA5" w:rsidRDefault="00266AA5">
      <w:pPr>
        <w:pStyle w:val="BodyText"/>
      </w:pPr>
      <w:r>
        <w:rPr>
          <w:b/>
          <w:bCs/>
        </w:rPr>
        <w:t>Reporting Errors</w:t>
      </w:r>
      <w:r>
        <w:t>: Reporting errors are mistakes or omissions made by importers, exporters</w:t>
      </w:r>
      <w:r w:rsidR="008868A5">
        <w:t>,</w:t>
      </w:r>
      <w:r>
        <w:t xml:space="preserve"> or their agents in their import or export declarations.  Most errors involve missing or invalid commodity classification codes and missing or incorrect quantities or shipping weights.  They have a negligible effect on</w:t>
      </w:r>
      <w:r w:rsidR="00C96FE6">
        <w:t xml:space="preserve"> aggregate</w:t>
      </w:r>
      <w:r>
        <w:t xml:space="preserve"> import, export</w:t>
      </w:r>
      <w:r w:rsidR="005603E5">
        <w:t>,</w:t>
      </w:r>
      <w:r>
        <w:t xml:space="preserve"> and balance of trade statistics.  However, they can affect the detailed commodity statistics.</w:t>
      </w:r>
    </w:p>
    <w:p w:rsidR="00266AA5" w:rsidRDefault="00266AA5">
      <w:pPr>
        <w:pStyle w:val="BodyText"/>
        <w:rPr>
          <w:sz w:val="21"/>
        </w:rPr>
      </w:pPr>
      <w:r>
        <w:rPr>
          <w:b/>
          <w:bCs/>
        </w:rPr>
        <w:t>Undocumented Shipments</w:t>
      </w:r>
      <w:r>
        <w:t>: Federal regulations require importers, exporters</w:t>
      </w:r>
      <w:r w:rsidR="005603E5">
        <w:t>,</w:t>
      </w:r>
      <w:r>
        <w:t xml:space="preserve"> or their agents to report all merchandise shipments above established exemption levels.  The U.S. Census Bureau has determined that not all required documents are filed, particularly for exports</w:t>
      </w:r>
      <w:r>
        <w:rPr>
          <w:sz w:val="21"/>
        </w:rPr>
        <w:t>.</w:t>
      </w:r>
    </w:p>
    <w:p w:rsidR="00266AA5" w:rsidRDefault="00266AA5">
      <w:pPr>
        <w:pStyle w:val="BodyText"/>
      </w:pPr>
      <w:r>
        <w:rPr>
          <w:b/>
          <w:bCs/>
        </w:rPr>
        <w:t>Timeliness and Data Capture Errors</w:t>
      </w:r>
      <w:r>
        <w:t>: The U.S. Census Bureau captures import and export information from administrative documents and through various automated collection programs.  Documents may be lost, and data may be incorrectly keyed, coded</w:t>
      </w:r>
      <w:r w:rsidR="005603E5">
        <w:t>,</w:t>
      </w:r>
      <w:r>
        <w:t xml:space="preserve"> or recorded.  Transactions may be included in a subsequent month’s statistics if received late.</w:t>
      </w:r>
    </w:p>
    <w:p w:rsidR="00266AA5" w:rsidRDefault="00266AA5">
      <w:pPr>
        <w:pStyle w:val="BodyText"/>
      </w:pPr>
      <w:r>
        <w:rPr>
          <w:b/>
          <w:bCs/>
        </w:rPr>
        <w:t>Low-valued Transactions</w:t>
      </w:r>
      <w:r>
        <w:t>: The total values of transactions valued as much as or below $2,500 for exports and $2,000 ($250 for certain quota items) for imports are estimated for each country, using factors based on the ratios of low-valued shipments to individual country totals for past periods.</w:t>
      </w:r>
    </w:p>
    <w:p w:rsidR="00266AA5" w:rsidRDefault="00266AA5">
      <w:pPr>
        <w:pStyle w:val="BodyText"/>
      </w:pPr>
      <w:r>
        <w:t xml:space="preserve">The U.S. Census Bureau recommends that data users incorporate this information into their analyses, as </w:t>
      </w:r>
      <w:proofErr w:type="spellStart"/>
      <w:r>
        <w:t>nonsampling</w:t>
      </w:r>
      <w:proofErr w:type="spellEnd"/>
      <w:r>
        <w:t xml:space="preserve"> errors could impact the conclusion drawn from the results.  For a detailed discussion of errors affecting the goods data, see “U.S. Merchandise Trade Statistics</w:t>
      </w:r>
      <w:r w:rsidR="00ED041F">
        <w:t xml:space="preserve">: </w:t>
      </w:r>
      <w:r>
        <w:t>A Quality Profile” available on the internet at</w:t>
      </w:r>
      <w:r w:rsidR="005603E5">
        <w:t xml:space="preserve"> </w:t>
      </w:r>
      <w:hyperlink r:id="rId11" w:anchor="infopapers" w:history="1">
        <w:r w:rsidR="005603E5" w:rsidRPr="00E4091D">
          <w:rPr>
            <w:rStyle w:val="Hyperlink"/>
          </w:rPr>
          <w:t>www.census.gov/foreign-trade/aip/index.html#infopapers</w:t>
        </w:r>
      </w:hyperlink>
      <w:r w:rsidR="005603E5">
        <w:t xml:space="preserve"> </w:t>
      </w:r>
      <w:r>
        <w:t>or from the Foreign Trade Division, U.S. Census Bureau.</w:t>
      </w:r>
    </w:p>
    <w:p w:rsidR="00266AA5" w:rsidRDefault="00266AA5">
      <w:pPr>
        <w:pStyle w:val="Heading3"/>
        <w:rPr>
          <w:rFonts w:cs="Times New Roman"/>
          <w:i/>
          <w:iCs/>
          <w:szCs w:val="20"/>
        </w:rPr>
      </w:pPr>
      <w:r>
        <w:rPr>
          <w:rFonts w:cs="Times New Roman"/>
          <w:i/>
          <w:iCs/>
          <w:szCs w:val="20"/>
        </w:rPr>
        <w:br w:type="column"/>
      </w:r>
      <w:r>
        <w:rPr>
          <w:rFonts w:cs="Times New Roman"/>
          <w:i/>
          <w:iCs/>
          <w:szCs w:val="20"/>
        </w:rPr>
        <w:lastRenderedPageBreak/>
        <w:t xml:space="preserve">AREA GROUPINGS </w:t>
      </w:r>
      <w:r>
        <w:rPr>
          <w:rFonts w:cs="Times New Roman"/>
          <w:b w:val="0"/>
          <w:bCs w:val="0"/>
          <w:szCs w:val="20"/>
        </w:rPr>
        <w:t>(See Exhibits 14 and 14A)</w:t>
      </w:r>
    </w:p>
    <w:p w:rsidR="00266AA5" w:rsidRDefault="00266AA5">
      <w:pPr>
        <w:pStyle w:val="BodyText"/>
      </w:pPr>
      <w:proofErr w:type="gramStart"/>
      <w:r>
        <w:rPr>
          <w:b/>
          <w:bCs/>
        </w:rPr>
        <w:t>North America</w:t>
      </w:r>
      <w:r>
        <w:t xml:space="preserve"> - Canada, Mexico</w:t>
      </w:r>
      <w:r w:rsidR="00840585">
        <w:t>.</w:t>
      </w:r>
      <w:proofErr w:type="gramEnd"/>
    </w:p>
    <w:p w:rsidR="00266AA5" w:rsidRDefault="00266AA5">
      <w:pPr>
        <w:pStyle w:val="BodyText"/>
      </w:pPr>
      <w:r>
        <w:rPr>
          <w:b/>
          <w:bCs/>
        </w:rPr>
        <w:t>Europe</w:t>
      </w:r>
      <w:r w:rsidRPr="00753078">
        <w:t xml:space="preserve"> - Albania, Andorra, Armenia, Austria, Aze</w:t>
      </w:r>
      <w:r w:rsidR="0099051C" w:rsidRPr="00753078">
        <w:t>rb</w:t>
      </w:r>
      <w:r w:rsidR="00A94F79" w:rsidRPr="00753078">
        <w:t>a</w:t>
      </w:r>
      <w:r w:rsidR="0099051C" w:rsidRPr="00753078">
        <w:t xml:space="preserve">ijan, </w:t>
      </w:r>
      <w:r w:rsidR="0099051C">
        <w:t>Belarus, Belgium, Bosnia and H</w:t>
      </w:r>
      <w:r>
        <w:t>er</w:t>
      </w:r>
      <w:r w:rsidR="007C7BE8">
        <w:t>z</w:t>
      </w:r>
      <w:r>
        <w:t xml:space="preserve">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w:t>
      </w:r>
      <w:proofErr w:type="spellStart"/>
      <w:r>
        <w:t>Mayen</w:t>
      </w:r>
      <w:proofErr w:type="spellEnd"/>
      <w:r>
        <w:t xml:space="preserve"> Island, Sweden, Switzerland, Tajikistan, Turkey, Turkmenistan, Ukraine, United Kingdom, Uzbekistan, Vatican City.</w:t>
      </w:r>
    </w:p>
    <w:p w:rsidR="00266AA5" w:rsidRDefault="00266AA5">
      <w:pPr>
        <w:pStyle w:val="BodyText"/>
      </w:pPr>
      <w:r>
        <w:rPr>
          <w:b/>
          <w:bCs/>
        </w:rPr>
        <w:t>European Union</w:t>
      </w:r>
      <w:r>
        <w:t xml:space="preserve"> - Austria, Belgium, Bulgaria, Cyprus, Czech Republic, Denmark, Estonia, Finland, France, Germany,</w:t>
      </w:r>
      <w:r>
        <w:rPr>
          <w:sz w:val="21"/>
        </w:rPr>
        <w:t xml:space="preserve"> </w:t>
      </w:r>
      <w:r>
        <w:t>Greece, Hungary, Ireland, Italy, Latvia, Lithuania, Luxembourg, Malta, Netherlands, Poland, Portugal, Romania, Slovakia, Slovenia, Spain, Sweden, United Kingdom.</w:t>
      </w:r>
    </w:p>
    <w:p w:rsidR="00266AA5" w:rsidRDefault="00266AA5">
      <w:pPr>
        <w:pStyle w:val="BodyText"/>
      </w:pPr>
      <w:r>
        <w:rPr>
          <w:b/>
          <w:bCs/>
        </w:rPr>
        <w:t>Euro Area</w:t>
      </w:r>
      <w:r>
        <w:t xml:space="preserve"> - Austria, Belgium, Cyprus, </w:t>
      </w:r>
      <w:r w:rsidR="0099051C">
        <w:t xml:space="preserve">Estonia, </w:t>
      </w:r>
      <w:r>
        <w:t>Finland, France, Germany, Greece, Ireland, Italy, Luxembourg, Malta, Netherlands, Portugal, Slovakia, Slovenia, Spain.</w:t>
      </w:r>
    </w:p>
    <w:p w:rsidR="00266AA5" w:rsidRDefault="00266AA5">
      <w:pPr>
        <w:pStyle w:val="BodyText"/>
      </w:pPr>
      <w:r>
        <w:rPr>
          <w:b/>
          <w:bCs/>
        </w:rPr>
        <w:t xml:space="preserve">Pacific Rim </w:t>
      </w:r>
      <w:r>
        <w:t>- Australia, Brunei, China, Hong Kong, Indonesia, Japan, Korea, Mac</w:t>
      </w:r>
      <w:r w:rsidR="000824CB">
        <w:t>au</w:t>
      </w:r>
      <w:r>
        <w:t>, Malaysia, New Zealand, Papua New Guinea, Philippines, Singapore, Taiwan.</w:t>
      </w:r>
    </w:p>
    <w:p w:rsidR="00266AA5" w:rsidRDefault="00266AA5">
      <w:pPr>
        <w:pStyle w:val="BodyText"/>
      </w:pPr>
      <w:r>
        <w:rPr>
          <w:b/>
          <w:bCs/>
        </w:rPr>
        <w:t>South/Central America</w:t>
      </w:r>
      <w:r w:rsidRPr="00753078">
        <w:t xml:space="preserve"> - Anguilla, Antigua and Barbuda, </w:t>
      </w:r>
      <w:r>
        <w:t xml:space="preserve">Argentina, Aruba, Bahamas, Barbados, Belize, Bermuda, Bolivia, Brazil, British Virgin Islands, Cayman Islands, Chile, Colombia, Costa Rica, Cuba, </w:t>
      </w:r>
      <w:r w:rsidR="00551E18">
        <w:t xml:space="preserve">Curacao, </w:t>
      </w:r>
      <w:r>
        <w:t>Dominica, Dominican Republic, Ecuador, El Salvador, Falkland Islands</w:t>
      </w:r>
      <w:r w:rsidR="000824CB">
        <w:t xml:space="preserve"> (Islas Malvinas)</w:t>
      </w:r>
      <w:r>
        <w:t xml:space="preserve">, French Guiana, Grenada, Guadeloupe, Guatemala, Guyana, Haiti, Honduras, Jamaica, Martinique, Montserrat, Netherlands Antilles, Nicaragua, Panama, Paraguay, Peru, </w:t>
      </w:r>
      <w:proofErr w:type="spellStart"/>
      <w:r w:rsidR="00551E18">
        <w:t>Sint</w:t>
      </w:r>
      <w:proofErr w:type="spellEnd"/>
      <w:r w:rsidR="00551E18">
        <w:t xml:space="preserve"> Maarten, </w:t>
      </w:r>
      <w:r>
        <w:t>St. Kitts and Nevis, St. Lucia, St. Vincent and the Grenadines, Suriname, Trinidad and Tobago, Turks and Caicos Islands, Uruguay, Venezuela.</w:t>
      </w:r>
    </w:p>
    <w:p w:rsidR="00266AA5" w:rsidRDefault="00266AA5">
      <w:pPr>
        <w:pStyle w:val="BodyText"/>
      </w:pPr>
      <w:r>
        <w:rPr>
          <w:b/>
          <w:bCs/>
        </w:rPr>
        <w:t>OPEC</w:t>
      </w:r>
      <w:r>
        <w:t xml:space="preserve"> - Algeria, Angola, Ecuador, Iran, Iraq, Kuwait, Libya, Nigeria, Qatar, Saudi Arabia, United Arab Emirates, Venezuela.</w:t>
      </w:r>
    </w:p>
    <w:p w:rsidR="00266AA5" w:rsidRDefault="00266AA5">
      <w:pPr>
        <w:pStyle w:val="BodyText"/>
      </w:pPr>
      <w:r>
        <w:rPr>
          <w:b/>
          <w:bCs/>
        </w:rPr>
        <w:t>Africa</w:t>
      </w:r>
      <w:r>
        <w:t xml:space="preserve"> - Algeria, Angola, Benin, Botswana, British Indian Ocean Territories, Burkina</w:t>
      </w:r>
      <w:r w:rsidR="000824CB">
        <w:t xml:space="preserve"> Faso</w:t>
      </w:r>
      <w:r>
        <w:t xml:space="preserve">, Burundi, Cameroon, Cape Verde, Central African Republic, Chad, Comoros, Congo (Brazzaville), Congo (Kinshasa), Djibouti, Egypt, Equatorial Guinea, Eritrea, 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South Africa, </w:t>
      </w:r>
      <w:r w:rsidR="00BC61E4">
        <w:t xml:space="preserve">South Sudan, </w:t>
      </w:r>
      <w:r>
        <w:t>Sudan, Swaziland, Tanzania, Togo, Tunisia, Uganda, Western Sahara, Zambia, Zimbabwe.</w:t>
      </w:r>
    </w:p>
    <w:p w:rsidR="00266AA5" w:rsidRDefault="00266AA5">
      <w:pPr>
        <w:pStyle w:val="Heading3"/>
        <w:rPr>
          <w:rFonts w:cs="Times New Roman"/>
          <w:i/>
          <w:szCs w:val="20"/>
        </w:rPr>
      </w:pPr>
      <w:r>
        <w:rPr>
          <w:rFonts w:cs="Times New Roman"/>
          <w:i/>
          <w:szCs w:val="20"/>
        </w:rPr>
        <w:br w:type="page"/>
      </w:r>
      <w:r>
        <w:rPr>
          <w:rFonts w:cs="Times New Roman"/>
          <w:i/>
          <w:szCs w:val="20"/>
        </w:rPr>
        <w:lastRenderedPageBreak/>
        <w:t xml:space="preserve">Adjustments for Seasonal and </w:t>
      </w:r>
      <w:r w:rsidR="00B6784E">
        <w:rPr>
          <w:rFonts w:cs="Times New Roman"/>
          <w:i/>
          <w:szCs w:val="20"/>
        </w:rPr>
        <w:t>Trading</w:t>
      </w:r>
      <w:r>
        <w:rPr>
          <w:rFonts w:cs="Times New Roman"/>
          <w:i/>
          <w:szCs w:val="20"/>
        </w:rPr>
        <w:t>-Day Variations</w:t>
      </w:r>
    </w:p>
    <w:p w:rsidR="00266AA5" w:rsidRDefault="00266AA5">
      <w:pPr>
        <w:pStyle w:val="BodyText"/>
      </w:pPr>
      <w:r>
        <w:t>Goods are initially classified u</w:t>
      </w:r>
      <w:r w:rsidR="00513BB7">
        <w:t xml:space="preserve">nder the Harmonized System, </w:t>
      </w:r>
      <w:r>
        <w:t xml:space="preserve">which describes and measures the characteristics of goods traded.  Combining trade into approximately 140 export and 140 import end-use categories makes it possible to examine goods according to their principal uses (See Exhibits 7 and 8).  These categories are used as the basis for computing the seasonal and </w:t>
      </w:r>
      <w:r w:rsidR="00840585">
        <w:t>trading</w:t>
      </w:r>
      <w:r>
        <w:t>-day adjusted data.  These adjusted data are then summed to the six end-use aggregates for publication (Exhibit 6).  These data are provided to the U.S. Bureau of Economic Analysis, from the U.S. Census Bureau, for use in the Balance of Payments and the National Income and Product Accounts.</w:t>
      </w:r>
    </w:p>
    <w:p w:rsidR="00266AA5" w:rsidRDefault="00266AA5">
      <w:pPr>
        <w:pStyle w:val="BodyText"/>
        <w:rPr>
          <w:sz w:val="21"/>
        </w:rPr>
      </w:pPr>
      <w:r>
        <w:t xml:space="preserve">The seasonal adjustment procedure is based on a model that estimates the monthly movements as percentages above or below the general level of each end-use commodity series (unlike other methods that redistribute the actual series values over the calendar year).  Because of the extremely variable </w:t>
      </w:r>
      <w:r>
        <w:rPr>
          <w:szCs w:val="20"/>
        </w:rPr>
        <w:t>movements of the data series for aircraft, users studying data trends may wish to analyze aircraft separately from other trade.</w:t>
      </w:r>
    </w:p>
    <w:p w:rsidR="00266AA5" w:rsidRDefault="00266AA5">
      <w:pPr>
        <w:pStyle w:val="Heading3"/>
        <w:rPr>
          <w:rFonts w:cs="Times New Roman"/>
          <w:i/>
          <w:iCs/>
          <w:szCs w:val="20"/>
        </w:rPr>
      </w:pPr>
      <w:r>
        <w:rPr>
          <w:rFonts w:cs="Times New Roman"/>
          <w:i/>
          <w:iCs/>
          <w:szCs w:val="20"/>
        </w:rPr>
        <w:t>Adjustments for Price Change</w:t>
      </w:r>
    </w:p>
    <w:p w:rsidR="00266AA5" w:rsidRDefault="00266AA5">
      <w:pPr>
        <w:pStyle w:val="BodyText"/>
      </w:pPr>
      <w:r>
        <w:t>Data adjusted for seasonal variation on a chained-dollar basis (2005 base year) are presented in Exhibits 10 and 11.  This adjustment for price change is done using the Fisher chain-weighted methodology.  The deflators are primarily based upon the monthly price indexes published by the Bureau of Labor Statistics using techniques developed for the National Income and Product Accounts by the U.S. Bureau of Economic Analysis.</w:t>
      </w:r>
    </w:p>
    <w:p w:rsidR="00266AA5" w:rsidRDefault="00266AA5">
      <w:pPr>
        <w:pStyle w:val="Heading3"/>
        <w:rPr>
          <w:i/>
          <w:iCs/>
          <w:szCs w:val="20"/>
        </w:rPr>
      </w:pPr>
      <w:r>
        <w:rPr>
          <w:i/>
          <w:iCs/>
          <w:szCs w:val="20"/>
        </w:rPr>
        <w:t>SITC Data</w:t>
      </w:r>
    </w:p>
    <w:p w:rsidR="00266AA5" w:rsidRDefault="00266AA5">
      <w:pPr>
        <w:pStyle w:val="BodyText"/>
      </w:pPr>
      <w:r>
        <w:t xml:space="preserve">Goods data appearing in Exhibit 15 are classified in terms of the Standard International Trade Classification (SITC) Revision 3.  Agricultural goods consist of non-marine food products and other products of agriculture which have not passed through complex processes of manufacture, such as raw hides and skins, fats and oils, and wine. </w:t>
      </w:r>
      <w:r w:rsidR="000D20BD">
        <w:t xml:space="preserve"> </w:t>
      </w:r>
      <w:r>
        <w:t>A few goods</w:t>
      </w:r>
      <w:r w:rsidR="00E74B31">
        <w:t>,</w:t>
      </w:r>
      <w:r>
        <w:t xml:space="preserve"> such as essential oils, starches, casein, and albumin, considered to be agricultural by the U.S. Department of Agriculture, have been excluded from agricultural goods and are included in manufactured goods where they are classified in the SITC.</w:t>
      </w:r>
    </w:p>
    <w:p w:rsidR="00266AA5" w:rsidRDefault="00266AA5">
      <w:pPr>
        <w:pStyle w:val="BodyText"/>
      </w:pPr>
      <w:r>
        <w:t>Manufactured goods conform to the SITC sections that include chemicals and related products; manufactured goods classified chiefly by material; machinery and transport equipment; miscellaneous manufactured articles; and goods and transactions not classified elsewhere.</w:t>
      </w:r>
    </w:p>
    <w:p w:rsidR="00266AA5" w:rsidRDefault="00266AA5">
      <w:pPr>
        <w:pStyle w:val="BodyText"/>
      </w:pPr>
      <w:proofErr w:type="spellStart"/>
      <w:r>
        <w:t>Reexports</w:t>
      </w:r>
      <w:proofErr w:type="spellEnd"/>
      <w:r>
        <w:t xml:space="preserve"> are foreign merchandise entering the country as imports, and at the time of exportation are in substantially the same condition as when imported.  </w:t>
      </w:r>
      <w:proofErr w:type="spellStart"/>
      <w:r>
        <w:t>Reexports</w:t>
      </w:r>
      <w:proofErr w:type="spellEnd"/>
      <w:r>
        <w:t>, included in overall export totals, appear as separate line items in Exhibit 15.</w:t>
      </w:r>
    </w:p>
    <w:p w:rsidR="00266AA5" w:rsidRDefault="00266AA5">
      <w:pPr>
        <w:pStyle w:val="Heading3"/>
        <w:rPr>
          <w:i/>
          <w:iCs/>
        </w:rPr>
      </w:pPr>
      <w:r>
        <w:rPr>
          <w:i/>
          <w:iCs/>
        </w:rPr>
        <w:br w:type="column"/>
      </w:r>
      <w:r>
        <w:rPr>
          <w:i/>
          <w:iCs/>
        </w:rPr>
        <w:lastRenderedPageBreak/>
        <w:t>Advanced Technology Products (ATP)</w:t>
      </w:r>
    </w:p>
    <w:p w:rsidR="00266AA5" w:rsidRDefault="00266AA5">
      <w:pPr>
        <w:pStyle w:val="BodyText"/>
      </w:pPr>
      <w:r>
        <w:t>About 500 of some 22,000 commodity classification codes used in reporting U.S. merchandise trade are identified as "advanced technology" codes</w:t>
      </w:r>
      <w:r w:rsidR="00A20563">
        <w:t>,</w:t>
      </w:r>
      <w:r>
        <w:t xml:space="preserve"> and they meet the following criteria:</w:t>
      </w:r>
    </w:p>
    <w:p w:rsidR="00266AA5" w:rsidRDefault="00266AA5">
      <w:pPr>
        <w:pStyle w:val="BodyText"/>
        <w:numPr>
          <w:ilvl w:val="0"/>
          <w:numId w:val="2"/>
        </w:numPr>
      </w:pPr>
      <w:r>
        <w:t>The code contains products whose technology is from a recognized high technology field (e.g., biotechnology).</w:t>
      </w:r>
    </w:p>
    <w:p w:rsidR="00266AA5" w:rsidRDefault="00266AA5">
      <w:pPr>
        <w:pStyle w:val="BodyText"/>
        <w:numPr>
          <w:ilvl w:val="0"/>
          <w:numId w:val="2"/>
        </w:numPr>
      </w:pPr>
      <w:r>
        <w:t>These products represent leading edge technology in that field.</w:t>
      </w:r>
    </w:p>
    <w:p w:rsidR="00266AA5" w:rsidRDefault="00266AA5">
      <w:pPr>
        <w:pStyle w:val="BodyText"/>
        <w:numPr>
          <w:ilvl w:val="0"/>
          <w:numId w:val="2"/>
        </w:numPr>
      </w:pPr>
      <w:r>
        <w:t>Such products constitute a significant part of all items covered in the selected classification code.</w:t>
      </w:r>
    </w:p>
    <w:p w:rsidR="00266AA5" w:rsidRDefault="00266AA5">
      <w:pPr>
        <w:pStyle w:val="BodyText"/>
        <w:rPr>
          <w:sz w:val="21"/>
        </w:rPr>
      </w:pPr>
      <w:r>
        <w:t>The aggregation of the goods results in a measure of advanced technology trade which appears in Exhibits 16 and 16A.  This product</w:t>
      </w:r>
      <w:r w:rsidR="00A20563">
        <w:t>-</w:t>
      </w:r>
      <w:r>
        <w:t xml:space="preserve"> and commodity-based measure of advanced technology differs from broader NAICS industry-based measures</w:t>
      </w:r>
      <w:r w:rsidR="00A20563">
        <w:t>,</w:t>
      </w:r>
      <w:r>
        <w:t xml:space="preserve"> which include all goods produced by a particular industry group, regardless of the level of technology embodied in the goods</w:t>
      </w:r>
      <w:r>
        <w:rPr>
          <w:sz w:val="21"/>
        </w:rPr>
        <w:t>.</w:t>
      </w:r>
    </w:p>
    <w:p w:rsidR="00266AA5" w:rsidRPr="009D1039" w:rsidRDefault="009D1039">
      <w:pPr>
        <w:pStyle w:val="Heading2"/>
        <w:rPr>
          <w:sz w:val="22"/>
          <w:szCs w:val="22"/>
        </w:rPr>
      </w:pPr>
      <w:r>
        <w:rPr>
          <w:sz w:val="22"/>
          <w:szCs w:val="22"/>
        </w:rPr>
        <w:t>Goods (</w:t>
      </w:r>
      <w:r w:rsidR="00266AA5" w:rsidRPr="009D1039">
        <w:rPr>
          <w:sz w:val="22"/>
          <w:szCs w:val="22"/>
        </w:rPr>
        <w:t>Balance of Payments Basis</w:t>
      </w:r>
      <w:r>
        <w:rPr>
          <w:sz w:val="22"/>
          <w:szCs w:val="22"/>
        </w:rPr>
        <w:t>)</w:t>
      </w:r>
    </w:p>
    <w:p w:rsidR="00622A83" w:rsidRDefault="00266AA5">
      <w:pPr>
        <w:pStyle w:val="BodyText"/>
        <w:rPr>
          <w:sz w:val="21"/>
        </w:rPr>
      </w:pPr>
      <w:r>
        <w:t>Goods on a Census basis are adjusted by the U.S. Bureau of Economic Analysis</w:t>
      </w:r>
      <w:r w:rsidR="008E3827">
        <w:t xml:space="preserve"> (BEA)</w:t>
      </w:r>
      <w:r>
        <w:t xml:space="preserve"> to a </w:t>
      </w:r>
      <w:r w:rsidR="009D1039">
        <w:t xml:space="preserve">balance of payments </w:t>
      </w:r>
      <w:r>
        <w:t xml:space="preserve">basis to </w:t>
      </w:r>
      <w:r w:rsidR="00BF7ECB">
        <w:t>align the</w:t>
      </w:r>
      <w:r>
        <w:t xml:space="preserve"> data with the concepts and definitions used to prepare the international and national</w:t>
      </w:r>
      <w:r w:rsidR="00404D9E">
        <w:t xml:space="preserve"> economic</w:t>
      </w:r>
      <w:r>
        <w:t xml:space="preserve"> accounts.  </w:t>
      </w:r>
      <w:r w:rsidR="00F01F5F">
        <w:t>The</w:t>
      </w:r>
      <w:r w:rsidR="00563E4A">
        <w:t>se</w:t>
      </w:r>
      <w:r w:rsidR="00F01F5F">
        <w:t xml:space="preserve"> adjustments</w:t>
      </w:r>
      <w:r w:rsidR="00A112C3">
        <w:t>, which are applied separately to exports and imports,</w:t>
      </w:r>
      <w:r w:rsidR="00F01F5F">
        <w:t xml:space="preserve"> are necessary to</w:t>
      </w:r>
      <w:r w:rsidR="0017312B">
        <w:t xml:space="preserve"> </w:t>
      </w:r>
      <w:r w:rsidR="00F01F5F">
        <w:t>suppleme</w:t>
      </w:r>
      <w:r w:rsidR="0017312B">
        <w:t>nt coverage of the Census data,</w:t>
      </w:r>
      <w:r w:rsidR="00D64809">
        <w:t xml:space="preserve"> to </w:t>
      </w:r>
      <w:r w:rsidR="00F01F5F">
        <w:t>eliminate duplication of transactions recorded elsewhere in the international accounts,</w:t>
      </w:r>
      <w:r w:rsidR="00D64809">
        <w:t xml:space="preserve"> </w:t>
      </w:r>
      <w:r w:rsidR="00DC73A5">
        <w:t xml:space="preserve">and </w:t>
      </w:r>
      <w:r w:rsidR="00D64809">
        <w:t xml:space="preserve">to </w:t>
      </w:r>
      <w:r w:rsidR="001339EC">
        <w:t>value</w:t>
      </w:r>
      <w:r w:rsidR="00A21300">
        <w:t xml:space="preserve"> </w:t>
      </w:r>
      <w:r w:rsidR="00F01F5F">
        <w:t>transactions</w:t>
      </w:r>
      <w:r w:rsidR="00F6027B">
        <w:t xml:space="preserve"> at market prices</w:t>
      </w:r>
      <w:r w:rsidR="00F01F5F" w:rsidRPr="009D3025">
        <w:rPr>
          <w:szCs w:val="20"/>
        </w:rPr>
        <w:t>.</w:t>
      </w:r>
      <w:r w:rsidR="00E86150" w:rsidRPr="009D3025">
        <w:rPr>
          <w:szCs w:val="20"/>
        </w:rPr>
        <w:t xml:space="preserve">  </w:t>
      </w:r>
      <w:r w:rsidR="00723B0E">
        <w:rPr>
          <w:szCs w:val="20"/>
        </w:rPr>
        <w:t xml:space="preserve">They </w:t>
      </w:r>
      <w:r w:rsidR="00723B0E">
        <w:t xml:space="preserve">include both </w:t>
      </w:r>
      <w:r w:rsidR="00723B0E" w:rsidRPr="00B01D85">
        <w:rPr>
          <w:i/>
        </w:rPr>
        <w:t>additions</w:t>
      </w:r>
      <w:r w:rsidR="00723B0E">
        <w:t xml:space="preserve"> to and </w:t>
      </w:r>
      <w:r w:rsidR="00723B0E" w:rsidRPr="00B01D85">
        <w:rPr>
          <w:i/>
        </w:rPr>
        <w:t>deductions</w:t>
      </w:r>
      <w:r w:rsidR="00723B0E">
        <w:t xml:space="preserve"> from goods on a Census basis and are presented in this release as “Net Adjustments.”  </w:t>
      </w:r>
      <w:r w:rsidR="00AE1532">
        <w:rPr>
          <w:szCs w:val="20"/>
        </w:rPr>
        <w:t>A</w:t>
      </w:r>
      <w:r w:rsidR="00D62392" w:rsidRPr="009D3025">
        <w:rPr>
          <w:szCs w:val="20"/>
        </w:rPr>
        <w:t xml:space="preserve">djustments that </w:t>
      </w:r>
      <w:r w:rsidR="00E86150" w:rsidRPr="009D3025">
        <w:rPr>
          <w:szCs w:val="20"/>
        </w:rPr>
        <w:t xml:space="preserve">exhibit </w:t>
      </w:r>
      <w:r w:rsidR="00096DC0" w:rsidRPr="009D3025">
        <w:rPr>
          <w:szCs w:val="20"/>
        </w:rPr>
        <w:t xml:space="preserve">significant </w:t>
      </w:r>
      <w:r w:rsidR="00E86150" w:rsidRPr="009D3025">
        <w:rPr>
          <w:szCs w:val="20"/>
        </w:rPr>
        <w:t>sea</w:t>
      </w:r>
      <w:r w:rsidR="000C3CD6" w:rsidRPr="009D3025">
        <w:rPr>
          <w:szCs w:val="20"/>
        </w:rPr>
        <w:t>sonal</w:t>
      </w:r>
      <w:r w:rsidR="00096DC0" w:rsidRPr="009D3025">
        <w:rPr>
          <w:szCs w:val="20"/>
        </w:rPr>
        <w:t xml:space="preserve"> patterns </w:t>
      </w:r>
      <w:r w:rsidR="000C3CD6" w:rsidRPr="009D3025">
        <w:rPr>
          <w:szCs w:val="20"/>
        </w:rPr>
        <w:t>are seasonally adjusted</w:t>
      </w:r>
      <w:r w:rsidR="00E86150" w:rsidRPr="009D3025">
        <w:rPr>
          <w:szCs w:val="20"/>
        </w:rPr>
        <w:t>.</w:t>
      </w:r>
      <w:r w:rsidR="00723B0E">
        <w:rPr>
          <w:szCs w:val="20"/>
        </w:rPr>
        <w:t xml:space="preserve">  </w:t>
      </w:r>
      <w:r w:rsidR="00622A83">
        <w:t xml:space="preserve">BEA also publishes </w:t>
      </w:r>
      <w:r w:rsidR="00BC469F">
        <w:t xml:space="preserve">more detailed </w:t>
      </w:r>
      <w:r w:rsidR="00622A83">
        <w:t xml:space="preserve">quarterly and annual statistics </w:t>
      </w:r>
      <w:r w:rsidR="00BC469F">
        <w:t xml:space="preserve">for </w:t>
      </w:r>
      <w:r w:rsidR="007B5B34">
        <w:t>Net Adjustments</w:t>
      </w:r>
      <w:r w:rsidR="00BC469F">
        <w:t xml:space="preserve"> </w:t>
      </w:r>
      <w:r w:rsidR="00622A83">
        <w:t xml:space="preserve">in a standard table of </w:t>
      </w:r>
      <w:r w:rsidR="00622A83" w:rsidRPr="00FD735C">
        <w:rPr>
          <w:szCs w:val="20"/>
        </w:rPr>
        <w:t>the U.S. international transactions acc</w:t>
      </w:r>
      <w:r w:rsidR="00FA1D55" w:rsidRPr="00FD735C">
        <w:rPr>
          <w:szCs w:val="20"/>
        </w:rPr>
        <w:t>o</w:t>
      </w:r>
      <w:r w:rsidR="00622A83" w:rsidRPr="00FD735C">
        <w:rPr>
          <w:szCs w:val="20"/>
        </w:rPr>
        <w:t>unts, Table 2</w:t>
      </w:r>
      <w:r w:rsidR="00FA1D55" w:rsidRPr="00FD735C">
        <w:rPr>
          <w:szCs w:val="20"/>
        </w:rPr>
        <w:t>.</w:t>
      </w:r>
      <w:r w:rsidR="00BC469F" w:rsidRPr="00FD735C">
        <w:rPr>
          <w:szCs w:val="20"/>
        </w:rPr>
        <w:t xml:space="preserve"> </w:t>
      </w:r>
      <w:r w:rsidR="00622A83" w:rsidRPr="00FD735C">
        <w:rPr>
          <w:szCs w:val="20"/>
        </w:rPr>
        <w:t>U.S. Trade in Goods</w:t>
      </w:r>
      <w:r w:rsidR="001B04A3">
        <w:rPr>
          <w:szCs w:val="20"/>
        </w:rPr>
        <w:t xml:space="preserve">.  See </w:t>
      </w:r>
      <w:r w:rsidR="00FA1D55" w:rsidRPr="00FD735C">
        <w:rPr>
          <w:szCs w:val="20"/>
        </w:rPr>
        <w:t xml:space="preserve">the BEA Web site at </w:t>
      </w:r>
      <w:hyperlink r:id="rId12" w:history="1">
        <w:r w:rsidR="00A85774">
          <w:rPr>
            <w:rStyle w:val="Hyperlink"/>
            <w:szCs w:val="20"/>
          </w:rPr>
          <w:t>www.bea.gov/iTable/index_ita.cfm</w:t>
        </w:r>
      </w:hyperlink>
      <w:r w:rsidR="00D81E64" w:rsidRPr="00FD735C">
        <w:rPr>
          <w:szCs w:val="20"/>
        </w:rPr>
        <w:t xml:space="preserve"> </w:t>
      </w:r>
      <w:r w:rsidR="00FA1D55" w:rsidRPr="00FD735C">
        <w:rPr>
          <w:szCs w:val="20"/>
        </w:rPr>
        <w:t xml:space="preserve">or the January, April, July, and October issues of the </w:t>
      </w:r>
      <w:r w:rsidR="00FA1D55" w:rsidRPr="00FD735C">
        <w:rPr>
          <w:i/>
          <w:szCs w:val="20"/>
        </w:rPr>
        <w:t>Survey of Current Business</w:t>
      </w:r>
      <w:r w:rsidR="00622A83" w:rsidRPr="00FD735C">
        <w:rPr>
          <w:szCs w:val="20"/>
        </w:rPr>
        <w:t>.</w:t>
      </w:r>
    </w:p>
    <w:p w:rsidR="00266AA5" w:rsidRDefault="00266AA5">
      <w:pPr>
        <w:pStyle w:val="BodyText"/>
        <w:rPr>
          <w:rFonts w:ascii="CG Times" w:hAnsi="CG Times"/>
        </w:rPr>
      </w:pPr>
      <w:r>
        <w:rPr>
          <w:rFonts w:ascii="CG Times" w:hAnsi="CG Times"/>
        </w:rPr>
        <w:t>The export adjustments include:</w:t>
      </w:r>
    </w:p>
    <w:p w:rsidR="00753078" w:rsidRDefault="00B53F75" w:rsidP="00C14E42">
      <w:pPr>
        <w:pStyle w:val="BodyText"/>
        <w:ind w:left="360"/>
      </w:pPr>
      <w:r>
        <w:rPr>
          <w:b/>
          <w:bCs/>
        </w:rPr>
        <w:t xml:space="preserve">Exports under </w:t>
      </w:r>
      <w:r w:rsidR="00266AA5">
        <w:rPr>
          <w:b/>
          <w:bCs/>
        </w:rPr>
        <w:t>U.S. military sales contracts</w:t>
      </w:r>
      <w:r w:rsidR="00266AA5">
        <w:t xml:space="preserve"> </w:t>
      </w:r>
      <w:r w:rsidR="00E2336B" w:rsidRPr="00753078">
        <w:rPr>
          <w:b/>
        </w:rPr>
        <w:t>-</w:t>
      </w:r>
      <w:r w:rsidR="00266AA5" w:rsidRPr="00753078">
        <w:rPr>
          <w:b/>
        </w:rPr>
        <w:t xml:space="preserve"> </w:t>
      </w:r>
      <w:r w:rsidR="00BD351F" w:rsidRPr="006A2C38">
        <w:t>T</w:t>
      </w:r>
      <w:r w:rsidR="00266AA5">
        <w:t xml:space="preserve">his </w:t>
      </w:r>
      <w:r w:rsidR="002F40CB">
        <w:t>adjustment re</w:t>
      </w:r>
      <w:r w:rsidR="00BA3948">
        <w:t>flects</w:t>
      </w:r>
      <w:r w:rsidR="002F40CB">
        <w:t xml:space="preserve"> the </w:t>
      </w:r>
      <w:r w:rsidR="00F5122C">
        <w:t>net amount of two separate adjustments.  BEA</w:t>
      </w:r>
      <w:r w:rsidR="007C635F">
        <w:t xml:space="preserve"> first </w:t>
      </w:r>
      <w:r w:rsidR="00F5122C" w:rsidRPr="005B5BEA">
        <w:rPr>
          <w:i/>
        </w:rPr>
        <w:t>deducts</w:t>
      </w:r>
      <w:r w:rsidR="00F5122C">
        <w:t xml:space="preserve"> </w:t>
      </w:r>
      <w:r w:rsidR="007F40D4">
        <w:t xml:space="preserve">goods </w:t>
      </w:r>
      <w:r w:rsidR="00A97C1B">
        <w:t xml:space="preserve">identified in the Census data as exports under the </w:t>
      </w:r>
      <w:r w:rsidR="00B002AC">
        <w:t>U.S. F</w:t>
      </w:r>
      <w:r w:rsidR="00383051">
        <w:t xml:space="preserve">oreign </w:t>
      </w:r>
      <w:r w:rsidR="00B002AC">
        <w:t>M</w:t>
      </w:r>
      <w:r w:rsidR="00383051">
        <w:t xml:space="preserve">ilitary </w:t>
      </w:r>
      <w:r w:rsidR="00B002AC">
        <w:t>S</w:t>
      </w:r>
      <w:r w:rsidR="00383051">
        <w:t xml:space="preserve">ales </w:t>
      </w:r>
      <w:r w:rsidR="000269FC">
        <w:t xml:space="preserve">program.  BEA then </w:t>
      </w:r>
      <w:r w:rsidR="00F5122C" w:rsidRPr="005B5BEA">
        <w:rPr>
          <w:i/>
        </w:rPr>
        <w:t>adds</w:t>
      </w:r>
      <w:r w:rsidR="00F5122C">
        <w:t xml:space="preserve"> </w:t>
      </w:r>
      <w:r w:rsidR="00B002AC">
        <w:t xml:space="preserve">primary source </w:t>
      </w:r>
      <w:r w:rsidR="007C635F">
        <w:t xml:space="preserve">data </w:t>
      </w:r>
      <w:r w:rsidR="00A97C1B">
        <w:t xml:space="preserve">for these exports, which are </w:t>
      </w:r>
      <w:r w:rsidR="00964497">
        <w:t xml:space="preserve">reported to BEA </w:t>
      </w:r>
      <w:r w:rsidR="00E63DB8">
        <w:t xml:space="preserve">by </w:t>
      </w:r>
      <w:r w:rsidR="006F321B">
        <w:t>the U.S. Department of Defense</w:t>
      </w:r>
      <w:r w:rsidR="003D671C">
        <w:t>.</w:t>
      </w:r>
    </w:p>
    <w:p w:rsidR="00D927F6" w:rsidRPr="00D927F6" w:rsidRDefault="00D927F6" w:rsidP="00C14E42">
      <w:pPr>
        <w:pStyle w:val="BodyText"/>
        <w:ind w:left="360"/>
      </w:pPr>
      <w:r>
        <w:rPr>
          <w:b/>
          <w:bCs/>
        </w:rPr>
        <w:t xml:space="preserve">Gold exports, nonmonetary </w:t>
      </w:r>
      <w:r w:rsidR="00E2336B">
        <w:rPr>
          <w:b/>
          <w:bCs/>
        </w:rPr>
        <w:t>-</w:t>
      </w:r>
      <w:r>
        <w:rPr>
          <w:b/>
          <w:bCs/>
        </w:rPr>
        <w:t xml:space="preserve"> </w:t>
      </w:r>
      <w:r w:rsidRPr="00D927F6">
        <w:rPr>
          <w:bCs/>
        </w:rPr>
        <w:t>This</w:t>
      </w:r>
      <w:r>
        <w:rPr>
          <w:b/>
          <w:bCs/>
        </w:rPr>
        <w:t xml:space="preserve"> </w:t>
      </w:r>
      <w:r w:rsidRPr="00D927F6">
        <w:rPr>
          <w:bCs/>
          <w:i/>
        </w:rPr>
        <w:t>addition</w:t>
      </w:r>
      <w:r>
        <w:rPr>
          <w:bCs/>
        </w:rPr>
        <w:t xml:space="preserve"> is made for gold that is purchased by foreign official agencies from private dealers in the United States and held at the Federal Reserve Bank of New York.  The Census data only include gold that leaves the </w:t>
      </w:r>
      <w:smartTag w:uri="urn:schemas-microsoft-com:office:smarttags" w:element="place">
        <w:smartTag w:uri="urn:schemas-microsoft-com:office:smarttags" w:element="country-region">
          <w:r w:rsidR="000269FC">
            <w:rPr>
              <w:bCs/>
            </w:rPr>
            <w:t>U.S.</w:t>
          </w:r>
        </w:smartTag>
      </w:smartTag>
      <w:r w:rsidR="000269FC">
        <w:rPr>
          <w:bCs/>
        </w:rPr>
        <w:t xml:space="preserve"> </w:t>
      </w:r>
      <w:r>
        <w:rPr>
          <w:bCs/>
        </w:rPr>
        <w:t>customs territory.</w:t>
      </w:r>
    </w:p>
    <w:p w:rsidR="00C64FD2" w:rsidRDefault="00C64FD2" w:rsidP="00C14E42">
      <w:pPr>
        <w:pStyle w:val="BodyText"/>
        <w:ind w:left="360"/>
        <w:rPr>
          <w:bCs/>
        </w:rPr>
      </w:pPr>
      <w:r>
        <w:rPr>
          <w:b/>
          <w:bCs/>
        </w:rPr>
        <w:lastRenderedPageBreak/>
        <w:t xml:space="preserve">Goods procured in U.S. ports by foreign carriers </w:t>
      </w:r>
      <w:r w:rsidR="00E2336B">
        <w:rPr>
          <w:b/>
          <w:bCs/>
        </w:rPr>
        <w:t>-</w:t>
      </w:r>
      <w:r>
        <w:rPr>
          <w:b/>
          <w:bCs/>
        </w:rPr>
        <w:t xml:space="preserve"> </w:t>
      </w:r>
      <w:r w:rsidR="00BD351F">
        <w:t>T</w:t>
      </w:r>
      <w:r w:rsidRPr="0014380C">
        <w:rPr>
          <w:bCs/>
        </w:rPr>
        <w:t xml:space="preserve">his </w:t>
      </w:r>
      <w:r w:rsidRPr="00A912DF">
        <w:rPr>
          <w:bCs/>
          <w:i/>
        </w:rPr>
        <w:t>addition</w:t>
      </w:r>
      <w:r w:rsidRPr="0014380C">
        <w:rPr>
          <w:bCs/>
        </w:rPr>
        <w:t xml:space="preserve"> is made for foreign air and ocean carriers’ fuel purchases in U.S.</w:t>
      </w:r>
      <w:r w:rsidR="00695493">
        <w:rPr>
          <w:bCs/>
        </w:rPr>
        <w:t xml:space="preserve"> ports.</w:t>
      </w:r>
    </w:p>
    <w:p w:rsidR="00B53F75" w:rsidRDefault="00B53F75" w:rsidP="00C14E42">
      <w:pPr>
        <w:pStyle w:val="BodyText"/>
        <w:ind w:left="360"/>
        <w:rPr>
          <w:bCs/>
        </w:rPr>
      </w:pPr>
      <w:r w:rsidRPr="00F90BA6">
        <w:rPr>
          <w:b/>
          <w:bCs/>
        </w:rPr>
        <w:t xml:space="preserve">Low-value transactions </w:t>
      </w:r>
      <w:r w:rsidR="00E2336B">
        <w:rPr>
          <w:b/>
          <w:bCs/>
        </w:rPr>
        <w:t xml:space="preserve">- </w:t>
      </w:r>
      <w:r>
        <w:rPr>
          <w:bCs/>
        </w:rPr>
        <w:t xml:space="preserve">This </w:t>
      </w:r>
      <w:r w:rsidRPr="00A912DF">
        <w:rPr>
          <w:bCs/>
          <w:i/>
        </w:rPr>
        <w:t>addition</w:t>
      </w:r>
      <w:r>
        <w:rPr>
          <w:bCs/>
        </w:rPr>
        <w:t xml:space="preserve"> is made to phase in a revised </w:t>
      </w:r>
      <w:r w:rsidRPr="00B53F75">
        <w:rPr>
          <w:bCs/>
        </w:rPr>
        <w:t>Census</w:t>
      </w:r>
      <w:r w:rsidR="00BE7115">
        <w:rPr>
          <w:bCs/>
        </w:rPr>
        <w:t xml:space="preserve"> Bureau</w:t>
      </w:r>
      <w:r w:rsidRPr="00B53F75">
        <w:rPr>
          <w:bCs/>
        </w:rPr>
        <w:t xml:space="preserve"> methodology for low-value goods</w:t>
      </w:r>
      <w:r w:rsidR="000E568A">
        <w:rPr>
          <w:bCs/>
        </w:rPr>
        <w:t xml:space="preserve"> for statistics prior to 2010</w:t>
      </w:r>
      <w:r>
        <w:rPr>
          <w:bCs/>
        </w:rPr>
        <w:t>.</w:t>
      </w:r>
      <w:r w:rsidR="00F90BA6">
        <w:rPr>
          <w:bCs/>
        </w:rPr>
        <w:t xml:space="preserve">  T</w:t>
      </w:r>
      <w:r w:rsidRPr="00B53F75">
        <w:rPr>
          <w:bCs/>
        </w:rPr>
        <w:t>h</w:t>
      </w:r>
      <w:r w:rsidR="00CA1F94">
        <w:rPr>
          <w:bCs/>
        </w:rPr>
        <w:t xml:space="preserve">e </w:t>
      </w:r>
      <w:r w:rsidR="009E032B">
        <w:rPr>
          <w:bCs/>
        </w:rPr>
        <w:t xml:space="preserve">revised </w:t>
      </w:r>
      <w:r w:rsidR="00CA1F94">
        <w:rPr>
          <w:bCs/>
        </w:rPr>
        <w:t xml:space="preserve">Census </w:t>
      </w:r>
      <w:r w:rsidRPr="00B53F75">
        <w:rPr>
          <w:bCs/>
        </w:rPr>
        <w:t>methodology was implemented for goods on a Census basis beginning with statistics for 2010</w:t>
      </w:r>
      <w:r>
        <w:rPr>
          <w:bCs/>
        </w:rPr>
        <w:t>.</w:t>
      </w:r>
    </w:p>
    <w:p w:rsidR="00516F32" w:rsidRDefault="00516F32" w:rsidP="00516F32">
      <w:pPr>
        <w:pStyle w:val="BodyText"/>
        <w:ind w:firstLine="360"/>
        <w:rPr>
          <w:sz w:val="21"/>
        </w:rPr>
      </w:pPr>
      <w:r>
        <w:t>Other adjustments to exports include:</w:t>
      </w:r>
    </w:p>
    <w:p w:rsidR="00266AA5" w:rsidRDefault="00266AA5" w:rsidP="00C14E42">
      <w:pPr>
        <w:ind w:left="360"/>
        <w:jc w:val="both"/>
        <w:rPr>
          <w:sz w:val="20"/>
        </w:rPr>
      </w:pPr>
      <w:r>
        <w:rPr>
          <w:i/>
          <w:sz w:val="20"/>
        </w:rPr>
        <w:t>Deductions</w:t>
      </w:r>
      <w:r>
        <w:rPr>
          <w:sz w:val="20"/>
        </w:rPr>
        <w:t xml:space="preserve"> for </w:t>
      </w:r>
      <w:r w:rsidR="006023FD">
        <w:rPr>
          <w:sz w:val="20"/>
        </w:rPr>
        <w:t xml:space="preserve">equipment </w:t>
      </w:r>
      <w:r w:rsidR="00396C24">
        <w:rPr>
          <w:sz w:val="20"/>
        </w:rPr>
        <w:t xml:space="preserve">repairs </w:t>
      </w:r>
      <w:r w:rsidR="006023FD">
        <w:rPr>
          <w:sz w:val="20"/>
        </w:rPr>
        <w:t xml:space="preserve">(parts and labor), </w:t>
      </w:r>
      <w:r>
        <w:rPr>
          <w:sz w:val="20"/>
        </w:rPr>
        <w:t xml:space="preserve">developed motion picture film, and military grant-aid.  </w:t>
      </w:r>
      <w:r>
        <w:rPr>
          <w:i/>
          <w:sz w:val="20"/>
        </w:rPr>
        <w:t>Additions</w:t>
      </w:r>
      <w:r>
        <w:rPr>
          <w:sz w:val="20"/>
        </w:rPr>
        <w:t xml:space="preserve"> for sales of fish </w:t>
      </w:r>
      <w:r w:rsidR="004F7EC6">
        <w:rPr>
          <w:sz w:val="20"/>
        </w:rPr>
        <w:t xml:space="preserve">caught </w:t>
      </w:r>
      <w:r>
        <w:rPr>
          <w:sz w:val="20"/>
        </w:rPr>
        <w:t xml:space="preserve">in U.S. territorial waters, exports of electricity to Mexico, </w:t>
      </w:r>
      <w:r w:rsidR="00A94F79">
        <w:rPr>
          <w:sz w:val="20"/>
        </w:rPr>
        <w:t xml:space="preserve">private gift parcels, </w:t>
      </w:r>
      <w:r>
        <w:rPr>
          <w:sz w:val="20"/>
        </w:rPr>
        <w:t xml:space="preserve">vessels and oil rigs </w:t>
      </w:r>
      <w:r w:rsidR="00C36402">
        <w:rPr>
          <w:sz w:val="20"/>
        </w:rPr>
        <w:t xml:space="preserve">for which </w:t>
      </w:r>
      <w:r>
        <w:rPr>
          <w:sz w:val="20"/>
        </w:rPr>
        <w:t>ownership</w:t>
      </w:r>
      <w:r w:rsidR="00C36402">
        <w:rPr>
          <w:sz w:val="20"/>
        </w:rPr>
        <w:t xml:space="preserve"> changes</w:t>
      </w:r>
      <w:r w:rsidR="00AD00B9">
        <w:rPr>
          <w:sz w:val="20"/>
        </w:rPr>
        <w:t>, and valuation of software exports at market value.</w:t>
      </w:r>
    </w:p>
    <w:p w:rsidR="00266AA5" w:rsidRDefault="00266AA5">
      <w:pPr>
        <w:rPr>
          <w:sz w:val="20"/>
        </w:rPr>
      </w:pPr>
    </w:p>
    <w:p w:rsidR="00266AA5" w:rsidRDefault="00266AA5">
      <w:pPr>
        <w:pStyle w:val="BodyText"/>
        <w:rPr>
          <w:sz w:val="21"/>
        </w:rPr>
      </w:pPr>
      <w:r>
        <w:t>The import adjustments include</w:t>
      </w:r>
      <w:r>
        <w:rPr>
          <w:sz w:val="21"/>
        </w:rPr>
        <w:t>:</w:t>
      </w:r>
    </w:p>
    <w:p w:rsidR="00A912DF" w:rsidRDefault="00A912DF" w:rsidP="00C14E42">
      <w:pPr>
        <w:pStyle w:val="BodyText"/>
        <w:ind w:left="360"/>
      </w:pPr>
      <w:r>
        <w:rPr>
          <w:b/>
          <w:bCs/>
        </w:rPr>
        <w:t>Gold imports, nonmonetary</w:t>
      </w:r>
      <w:r w:rsidR="007F40D4">
        <w:rPr>
          <w:b/>
          <w:bCs/>
        </w:rPr>
        <w:t xml:space="preserve"> </w:t>
      </w:r>
      <w:r w:rsidR="00E2336B">
        <w:rPr>
          <w:b/>
          <w:bCs/>
        </w:rPr>
        <w:t>-</w:t>
      </w:r>
      <w:r w:rsidR="007F40D4">
        <w:rPr>
          <w:b/>
          <w:bCs/>
        </w:rPr>
        <w:t xml:space="preserve"> </w:t>
      </w:r>
      <w:r w:rsidR="007F40D4" w:rsidRPr="007F40D4">
        <w:rPr>
          <w:bCs/>
        </w:rPr>
        <w:t>This</w:t>
      </w:r>
      <w:r w:rsidR="007F40D4">
        <w:rPr>
          <w:b/>
          <w:bCs/>
        </w:rPr>
        <w:t xml:space="preserve"> </w:t>
      </w:r>
      <w:r>
        <w:rPr>
          <w:i/>
        </w:rPr>
        <w:t>addition</w:t>
      </w:r>
      <w:r>
        <w:t xml:space="preserve"> is made for gold sold by foreign official agencies to private purchasers out of stock held at the Federal Reserve Bank of New York.  The Census data only include gold that enters the </w:t>
      </w:r>
      <w:smartTag w:uri="urn:schemas-microsoft-com:office:smarttags" w:element="place">
        <w:smartTag w:uri="urn:schemas-microsoft-com:office:smarttags" w:element="country-region">
          <w:r w:rsidR="00B57623">
            <w:t>U.S.</w:t>
          </w:r>
        </w:smartTag>
      </w:smartTag>
      <w:r w:rsidR="00B57623">
        <w:t xml:space="preserve"> </w:t>
      </w:r>
      <w:r>
        <w:t>customs territory.</w:t>
      </w:r>
    </w:p>
    <w:p w:rsidR="00041EA3" w:rsidRDefault="00041EA3" w:rsidP="00C14E42">
      <w:pPr>
        <w:pStyle w:val="BodyText"/>
        <w:ind w:left="360"/>
      </w:pPr>
      <w:r>
        <w:rPr>
          <w:b/>
          <w:bCs/>
        </w:rPr>
        <w:t xml:space="preserve">Goods procured in foreign ports by U.S. carriers </w:t>
      </w:r>
      <w:r w:rsidR="00E2336B">
        <w:rPr>
          <w:b/>
          <w:bCs/>
        </w:rPr>
        <w:t>-</w:t>
      </w:r>
      <w:r>
        <w:rPr>
          <w:b/>
          <w:bCs/>
        </w:rPr>
        <w:t xml:space="preserve"> </w:t>
      </w:r>
      <w:r w:rsidR="00BD351F">
        <w:t>T</w:t>
      </w:r>
      <w:r w:rsidRPr="0014380C">
        <w:rPr>
          <w:bCs/>
        </w:rPr>
        <w:t xml:space="preserve">his </w:t>
      </w:r>
      <w:r w:rsidRPr="00A912DF">
        <w:rPr>
          <w:bCs/>
          <w:i/>
        </w:rPr>
        <w:t>addition</w:t>
      </w:r>
      <w:r w:rsidRPr="0014380C">
        <w:rPr>
          <w:bCs/>
        </w:rPr>
        <w:t xml:space="preserve"> is made for </w:t>
      </w:r>
      <w:r>
        <w:rPr>
          <w:bCs/>
        </w:rPr>
        <w:t xml:space="preserve">U.S. </w:t>
      </w:r>
      <w:r w:rsidRPr="0014380C">
        <w:rPr>
          <w:bCs/>
        </w:rPr>
        <w:t xml:space="preserve">air and ocean carriers’ fuel purchases in </w:t>
      </w:r>
      <w:r>
        <w:rPr>
          <w:bCs/>
        </w:rPr>
        <w:t>foreign ports.</w:t>
      </w:r>
    </w:p>
    <w:p w:rsidR="00266AA5" w:rsidRDefault="00266AA5" w:rsidP="00C14E42">
      <w:pPr>
        <w:pStyle w:val="BodyText"/>
        <w:ind w:left="360"/>
      </w:pPr>
      <w:r>
        <w:rPr>
          <w:b/>
          <w:bCs/>
        </w:rPr>
        <w:t>Imports by U.S. military agencies</w:t>
      </w:r>
      <w:r w:rsidR="003B766B">
        <w:rPr>
          <w:b/>
          <w:bCs/>
        </w:rPr>
        <w:t xml:space="preserve"> </w:t>
      </w:r>
      <w:r w:rsidR="00E2336B">
        <w:rPr>
          <w:b/>
          <w:bCs/>
        </w:rPr>
        <w:t>-</w:t>
      </w:r>
      <w:r w:rsidR="003B766B">
        <w:rPr>
          <w:b/>
          <w:bCs/>
        </w:rPr>
        <w:t xml:space="preserve"> </w:t>
      </w:r>
      <w:r w:rsidR="00BD351F">
        <w:rPr>
          <w:bCs/>
        </w:rPr>
        <w:t>T</w:t>
      </w:r>
      <w:r w:rsidR="006D08F3" w:rsidRPr="006D08F3">
        <w:t xml:space="preserve">his </w:t>
      </w:r>
      <w:r w:rsidR="00A25259">
        <w:t xml:space="preserve">adjustment </w:t>
      </w:r>
      <w:r w:rsidR="00482FBA">
        <w:t>reflects</w:t>
      </w:r>
      <w:r w:rsidR="006D08F3" w:rsidRPr="006D08F3">
        <w:t xml:space="preserve"> the </w:t>
      </w:r>
      <w:r w:rsidR="00BB24E5">
        <w:t xml:space="preserve">net amount of two separate adjustments.  BEA </w:t>
      </w:r>
      <w:r w:rsidR="00BF14AF">
        <w:t xml:space="preserve">first </w:t>
      </w:r>
      <w:r w:rsidR="00067C4F" w:rsidRPr="00067C4F">
        <w:rPr>
          <w:i/>
        </w:rPr>
        <w:t>deduct</w:t>
      </w:r>
      <w:r w:rsidR="00BB24E5">
        <w:rPr>
          <w:i/>
        </w:rPr>
        <w:t xml:space="preserve">s </w:t>
      </w:r>
      <w:r w:rsidR="00067C4F">
        <w:t xml:space="preserve">goods </w:t>
      </w:r>
      <w:r w:rsidR="004325AC">
        <w:t>(petroleum and non-petroleum)</w:t>
      </w:r>
      <w:r w:rsidR="00BB24E5">
        <w:t xml:space="preserve"> identified in the Census data as </w:t>
      </w:r>
      <w:r w:rsidR="00067C4F">
        <w:t>import</w:t>
      </w:r>
      <w:r w:rsidR="00BB24E5">
        <w:t xml:space="preserve">s </w:t>
      </w:r>
      <w:r w:rsidR="00067C4F">
        <w:t xml:space="preserve">by </w:t>
      </w:r>
      <w:smartTag w:uri="urn:schemas-microsoft-com:office:smarttags" w:element="place">
        <w:smartTag w:uri="urn:schemas-microsoft-com:office:smarttags" w:element="country-region">
          <w:r w:rsidR="00067C4F">
            <w:t>U.S.</w:t>
          </w:r>
        </w:smartTag>
      </w:smartTag>
      <w:r w:rsidR="00067C4F">
        <w:t xml:space="preserve"> military agencies</w:t>
      </w:r>
      <w:r w:rsidR="00BB24E5">
        <w:t xml:space="preserve">.  BEA </w:t>
      </w:r>
      <w:r w:rsidR="00BF14AF">
        <w:t xml:space="preserve">then </w:t>
      </w:r>
      <w:r w:rsidR="00BB24E5" w:rsidRPr="00BB24E5">
        <w:rPr>
          <w:i/>
        </w:rPr>
        <w:t>adds</w:t>
      </w:r>
      <w:r w:rsidR="00BB24E5">
        <w:t xml:space="preserve"> </w:t>
      </w:r>
      <w:r w:rsidR="00067C4F">
        <w:t xml:space="preserve">primary source data </w:t>
      </w:r>
      <w:r w:rsidR="00AC34B2">
        <w:t>for purchases of petroleum abroad by U.S. military agencies, which are reported to BEA</w:t>
      </w:r>
      <w:r w:rsidR="003D671C">
        <w:t xml:space="preserve"> </w:t>
      </w:r>
      <w:r w:rsidR="00E63DB8">
        <w:t xml:space="preserve">by </w:t>
      </w:r>
      <w:r w:rsidR="003D671C">
        <w:t>the U.S. Department of Defense</w:t>
      </w:r>
      <w:r w:rsidR="00D97701">
        <w:t xml:space="preserve">. </w:t>
      </w:r>
      <w:r w:rsidR="0064657D">
        <w:t xml:space="preserve"> </w:t>
      </w:r>
      <w:r w:rsidR="00D7545D">
        <w:t>N</w:t>
      </w:r>
      <w:r w:rsidR="00D97701">
        <w:t>on-petroleum imports are included</w:t>
      </w:r>
      <w:r w:rsidR="00BB24E5">
        <w:t xml:space="preserve">, </w:t>
      </w:r>
      <w:r w:rsidR="00D7545D">
        <w:t>along with imports of services by U.S. military agencies</w:t>
      </w:r>
      <w:r w:rsidR="00BB24E5">
        <w:t>,</w:t>
      </w:r>
      <w:r w:rsidR="00D7545D">
        <w:t xml:space="preserve"> </w:t>
      </w:r>
      <w:r w:rsidR="00D97701">
        <w:t xml:space="preserve">in the services category </w:t>
      </w:r>
      <w:r w:rsidR="0066305D" w:rsidRPr="009D3025">
        <w:rPr>
          <w:i/>
        </w:rPr>
        <w:t>d</w:t>
      </w:r>
      <w:r w:rsidR="00D97701" w:rsidRPr="009D3025">
        <w:rPr>
          <w:i/>
        </w:rPr>
        <w:t>irect defense expenditures</w:t>
      </w:r>
      <w:r w:rsidR="00D7545D">
        <w:t>.</w:t>
      </w:r>
    </w:p>
    <w:p w:rsidR="00041EA3" w:rsidRDefault="00041EA3" w:rsidP="00C14E42">
      <w:pPr>
        <w:pStyle w:val="BodyText"/>
        <w:ind w:left="360"/>
      </w:pPr>
      <w:r>
        <w:rPr>
          <w:b/>
          <w:bCs/>
        </w:rPr>
        <w:t xml:space="preserve">Inland freight in </w:t>
      </w:r>
      <w:smartTag w:uri="urn:schemas-microsoft-com:office:smarttags" w:element="country-region">
        <w:r>
          <w:rPr>
            <w:b/>
            <w:bCs/>
          </w:rPr>
          <w:t>Canada</w:t>
        </w:r>
      </w:smartTag>
      <w:r>
        <w:rPr>
          <w:b/>
          <w:bCs/>
        </w:rPr>
        <w:t xml:space="preserve"> and </w:t>
      </w:r>
      <w:smartTag w:uri="urn:schemas-microsoft-com:office:smarttags" w:element="country-region">
        <w:r>
          <w:rPr>
            <w:b/>
            <w:bCs/>
          </w:rPr>
          <w:t>Mexico</w:t>
        </w:r>
      </w:smartTag>
      <w:r w:rsidR="003B766B">
        <w:rPr>
          <w:b/>
          <w:bCs/>
        </w:rPr>
        <w:t xml:space="preserve"> </w:t>
      </w:r>
      <w:r w:rsidR="00E2336B">
        <w:rPr>
          <w:b/>
          <w:bCs/>
        </w:rPr>
        <w:t>-</w:t>
      </w:r>
      <w:r w:rsidR="003B766B">
        <w:rPr>
          <w:b/>
          <w:bCs/>
        </w:rPr>
        <w:t xml:space="preserve"> </w:t>
      </w:r>
      <w:r w:rsidR="00E2336B" w:rsidRPr="00E2336B">
        <w:rPr>
          <w:bCs/>
        </w:rPr>
        <w:t>This</w:t>
      </w:r>
      <w:r w:rsidR="00E2336B">
        <w:rPr>
          <w:b/>
          <w:bCs/>
        </w:rPr>
        <w:t xml:space="preserve"> </w:t>
      </w:r>
      <w:r>
        <w:rPr>
          <w:i/>
        </w:rPr>
        <w:t>addition</w:t>
      </w:r>
      <w:r>
        <w:t xml:space="preserve"> is made for inland freight in </w:t>
      </w:r>
      <w:smartTag w:uri="urn:schemas-microsoft-com:office:smarttags" w:element="country-region">
        <w:r>
          <w:t>Canada</w:t>
        </w:r>
      </w:smartTag>
      <w:r>
        <w:t xml:space="preserve"> and </w:t>
      </w:r>
      <w:smartTag w:uri="urn:schemas-microsoft-com:office:smarttags" w:element="place">
        <w:smartTag w:uri="urn:schemas-microsoft-com:office:smarttags" w:element="country-region">
          <w:r>
            <w:t>Mexico</w:t>
          </w:r>
        </w:smartTag>
      </w:smartTag>
      <w:r>
        <w:t xml:space="preserve">.  Imports of goods from all countries </w:t>
      </w:r>
      <w:r w:rsidR="00A33279">
        <w:t xml:space="preserve">should be </w:t>
      </w:r>
      <w:r>
        <w:t xml:space="preserve">valued at </w:t>
      </w:r>
      <w:r w:rsidR="00A25259">
        <w:t xml:space="preserve">the customs value—the value at the </w:t>
      </w:r>
      <w:r>
        <w:t>foreign port of export</w:t>
      </w:r>
      <w:r w:rsidR="00A25259">
        <w:t xml:space="preserve"> </w:t>
      </w:r>
      <w:r>
        <w:t>including inland freight charges</w:t>
      </w:r>
      <w:r w:rsidR="00A25259">
        <w:t xml:space="preserve">.  </w:t>
      </w:r>
      <w:r w:rsidR="00A33279">
        <w:t xml:space="preserve">For imports from </w:t>
      </w:r>
      <w:smartTag w:uri="urn:schemas-microsoft-com:office:smarttags" w:element="country-region">
        <w:r>
          <w:t>Canada</w:t>
        </w:r>
      </w:smartTag>
      <w:r>
        <w:t xml:space="preserve"> and </w:t>
      </w:r>
      <w:smartTag w:uri="urn:schemas-microsoft-com:office:smarttags" w:element="country-region">
        <w:r>
          <w:t>Mexico</w:t>
        </w:r>
      </w:smartTag>
      <w:r>
        <w:t xml:space="preserve">, this should be the cost of the goods at the </w:t>
      </w:r>
      <w:smartTag w:uri="urn:schemas-microsoft-com:office:smarttags" w:element="place">
        <w:smartTag w:uri="urn:schemas-microsoft-com:office:smarttags" w:element="country-region">
          <w:r>
            <w:t>U.S.</w:t>
          </w:r>
        </w:smartTag>
      </w:smartTag>
      <w:r>
        <w:t xml:space="preserve"> border.  However, the customs value for imports for certain Canadian </w:t>
      </w:r>
      <w:r w:rsidR="00B57623">
        <w:t>and</w:t>
      </w:r>
      <w:r>
        <w:t xml:space="preserve"> Mexican goods is the point of origin in </w:t>
      </w:r>
      <w:smartTag w:uri="urn:schemas-microsoft-com:office:smarttags" w:element="country-region">
        <w:r>
          <w:t>Canada</w:t>
        </w:r>
      </w:smartTag>
      <w:r>
        <w:t xml:space="preserve"> or </w:t>
      </w:r>
      <w:smartTag w:uri="urn:schemas-microsoft-com:office:smarttags" w:element="place">
        <w:smartTag w:uri="urn:schemas-microsoft-com:office:smarttags" w:element="country-region">
          <w:r>
            <w:t>Mexico</w:t>
          </w:r>
        </w:smartTag>
      </w:smartTag>
      <w:r>
        <w:t xml:space="preserve">.  BEA makes an </w:t>
      </w:r>
      <w:r>
        <w:rPr>
          <w:i/>
        </w:rPr>
        <w:t>addition</w:t>
      </w:r>
      <w:r>
        <w:t xml:space="preserve"> for the inland freight charges of transporting these goods to the </w:t>
      </w:r>
      <w:smartTag w:uri="urn:schemas-microsoft-com:office:smarttags" w:element="place">
        <w:smartTag w:uri="urn:schemas-microsoft-com:office:smarttags" w:element="country-region">
          <w:r>
            <w:t>U.S.</w:t>
          </w:r>
        </w:smartTag>
      </w:smartTag>
      <w:r>
        <w:t xml:space="preserve"> border to make the value comparable to the customs value reported </w:t>
      </w:r>
      <w:r w:rsidR="00B57623">
        <w:t>for</w:t>
      </w:r>
      <w:r>
        <w:t xml:space="preserve"> </w:t>
      </w:r>
      <w:r w:rsidR="00B0692E">
        <w:t xml:space="preserve">imports from </w:t>
      </w:r>
      <w:r>
        <w:t>other countries.</w:t>
      </w:r>
    </w:p>
    <w:p w:rsidR="0013705D" w:rsidRDefault="00041EA3" w:rsidP="00C14E42">
      <w:pPr>
        <w:pStyle w:val="BodyText"/>
        <w:ind w:left="360"/>
      </w:pPr>
      <w:r w:rsidRPr="00F90BA6">
        <w:rPr>
          <w:b/>
          <w:bCs/>
        </w:rPr>
        <w:t>Low-value transactions</w:t>
      </w:r>
      <w:r w:rsidR="004D6677">
        <w:rPr>
          <w:b/>
          <w:bCs/>
        </w:rPr>
        <w:t xml:space="preserve"> </w:t>
      </w:r>
      <w:r w:rsidR="00E2336B">
        <w:rPr>
          <w:b/>
          <w:bCs/>
        </w:rPr>
        <w:t>-</w:t>
      </w:r>
      <w:r w:rsidR="004D6677">
        <w:rPr>
          <w:b/>
          <w:bCs/>
        </w:rPr>
        <w:t xml:space="preserve"> </w:t>
      </w:r>
      <w:r w:rsidR="004D6677" w:rsidRPr="004D6677">
        <w:rPr>
          <w:bCs/>
        </w:rPr>
        <w:t>This</w:t>
      </w:r>
      <w:r w:rsidR="004D6677">
        <w:rPr>
          <w:b/>
          <w:bCs/>
        </w:rPr>
        <w:t xml:space="preserve"> </w:t>
      </w:r>
      <w:r w:rsidRPr="00A912DF">
        <w:rPr>
          <w:bCs/>
          <w:i/>
        </w:rPr>
        <w:t>addition</w:t>
      </w:r>
      <w:r>
        <w:rPr>
          <w:bCs/>
        </w:rPr>
        <w:t xml:space="preserve"> is made to phase in a revised </w:t>
      </w:r>
      <w:r w:rsidRPr="00B53F75">
        <w:rPr>
          <w:bCs/>
        </w:rPr>
        <w:t>Census</w:t>
      </w:r>
      <w:r w:rsidR="00BE7115">
        <w:rPr>
          <w:bCs/>
        </w:rPr>
        <w:t xml:space="preserve"> Bureau</w:t>
      </w:r>
      <w:r w:rsidRPr="00B53F75">
        <w:rPr>
          <w:bCs/>
        </w:rPr>
        <w:t xml:space="preserve"> methodology for low-value goods</w:t>
      </w:r>
      <w:r w:rsidR="00081A1F">
        <w:rPr>
          <w:bCs/>
        </w:rPr>
        <w:t xml:space="preserve"> for statistics prior to 2010</w:t>
      </w:r>
      <w:r>
        <w:rPr>
          <w:bCs/>
        </w:rPr>
        <w:t>.  T</w:t>
      </w:r>
      <w:r w:rsidRPr="00B53F75">
        <w:rPr>
          <w:bCs/>
        </w:rPr>
        <w:t>h</w:t>
      </w:r>
      <w:r w:rsidR="00C24A9E">
        <w:rPr>
          <w:bCs/>
        </w:rPr>
        <w:t>e revised Census</w:t>
      </w:r>
      <w:r w:rsidRPr="00B53F75">
        <w:rPr>
          <w:bCs/>
        </w:rPr>
        <w:t xml:space="preserve"> methodology was implemented for goods on a Census basis beginning with statistics for 2010</w:t>
      </w:r>
      <w:r>
        <w:rPr>
          <w:bCs/>
        </w:rPr>
        <w:t>.</w:t>
      </w:r>
    </w:p>
    <w:p w:rsidR="00572564" w:rsidRDefault="00572564" w:rsidP="00516F32">
      <w:pPr>
        <w:pStyle w:val="BodyText"/>
        <w:ind w:firstLine="360"/>
      </w:pPr>
    </w:p>
    <w:p w:rsidR="0013705D" w:rsidRDefault="0013705D" w:rsidP="00516F32">
      <w:pPr>
        <w:pStyle w:val="BodyText"/>
        <w:ind w:firstLine="360"/>
        <w:rPr>
          <w:sz w:val="21"/>
        </w:rPr>
      </w:pPr>
      <w:r>
        <w:lastRenderedPageBreak/>
        <w:t>Other adjustments to imports include:</w:t>
      </w:r>
    </w:p>
    <w:p w:rsidR="00266AA5" w:rsidRDefault="00266AA5" w:rsidP="00C14E42">
      <w:pPr>
        <w:ind w:left="360"/>
        <w:jc w:val="both"/>
        <w:rPr>
          <w:sz w:val="20"/>
        </w:rPr>
      </w:pPr>
      <w:r>
        <w:rPr>
          <w:i/>
          <w:sz w:val="20"/>
        </w:rPr>
        <w:t>Deductions</w:t>
      </w:r>
      <w:r>
        <w:rPr>
          <w:sz w:val="20"/>
        </w:rPr>
        <w:t xml:space="preserve"> </w:t>
      </w:r>
      <w:r w:rsidR="00396C24">
        <w:rPr>
          <w:sz w:val="20"/>
        </w:rPr>
        <w:t>for</w:t>
      </w:r>
      <w:r w:rsidR="00314A6E">
        <w:rPr>
          <w:sz w:val="20"/>
        </w:rPr>
        <w:t xml:space="preserve"> </w:t>
      </w:r>
      <w:r w:rsidR="006023FD">
        <w:rPr>
          <w:sz w:val="20"/>
        </w:rPr>
        <w:t xml:space="preserve">equipment </w:t>
      </w:r>
      <w:r w:rsidR="00396C24">
        <w:rPr>
          <w:sz w:val="20"/>
        </w:rPr>
        <w:t xml:space="preserve">repairs </w:t>
      </w:r>
      <w:r w:rsidR="006023FD">
        <w:rPr>
          <w:sz w:val="20"/>
        </w:rPr>
        <w:t>(parts and labor)</w:t>
      </w:r>
      <w:r w:rsidR="00CD4D48">
        <w:rPr>
          <w:sz w:val="20"/>
        </w:rPr>
        <w:t xml:space="preserve">, </w:t>
      </w:r>
      <w:r w:rsidR="00CD4D48" w:rsidRPr="00CD4D48">
        <w:rPr>
          <w:sz w:val="20"/>
        </w:rPr>
        <w:t>repairs to U.S. vessels abroad,</w:t>
      </w:r>
      <w:r w:rsidR="00CD4D48">
        <w:rPr>
          <w:sz w:val="20"/>
        </w:rPr>
        <w:t xml:space="preserve"> </w:t>
      </w:r>
      <w:r w:rsidR="00C24A9E">
        <w:rPr>
          <w:sz w:val="20"/>
        </w:rPr>
        <w:t>and</w:t>
      </w:r>
      <w:r w:rsidR="006023FD">
        <w:rPr>
          <w:sz w:val="20"/>
        </w:rPr>
        <w:t xml:space="preserve"> </w:t>
      </w:r>
      <w:r>
        <w:rPr>
          <w:sz w:val="20"/>
        </w:rPr>
        <w:t xml:space="preserve">developed motion picture film.  </w:t>
      </w:r>
      <w:r>
        <w:rPr>
          <w:i/>
          <w:sz w:val="20"/>
        </w:rPr>
        <w:t>Additions</w:t>
      </w:r>
      <w:r>
        <w:rPr>
          <w:sz w:val="20"/>
        </w:rPr>
        <w:t xml:space="preserve"> </w:t>
      </w:r>
      <w:r w:rsidR="00A70C71">
        <w:rPr>
          <w:sz w:val="20"/>
        </w:rPr>
        <w:t>for</w:t>
      </w:r>
      <w:r w:rsidR="00314A6E">
        <w:rPr>
          <w:sz w:val="20"/>
        </w:rPr>
        <w:t xml:space="preserve"> </w:t>
      </w:r>
      <w:r w:rsidR="00A70C71">
        <w:rPr>
          <w:sz w:val="20"/>
        </w:rPr>
        <w:t xml:space="preserve">non-reported </w:t>
      </w:r>
      <w:r w:rsidR="000C02D5">
        <w:rPr>
          <w:sz w:val="20"/>
        </w:rPr>
        <w:t xml:space="preserve">imports of </w:t>
      </w:r>
      <w:r w:rsidR="00A70C71">
        <w:rPr>
          <w:sz w:val="20"/>
        </w:rPr>
        <w:t xml:space="preserve">locomotives and railcars, </w:t>
      </w:r>
      <w:r w:rsidR="0078352A">
        <w:rPr>
          <w:sz w:val="20"/>
        </w:rPr>
        <w:t>import</w:t>
      </w:r>
      <w:r w:rsidR="0001583E">
        <w:rPr>
          <w:sz w:val="20"/>
        </w:rPr>
        <w:t>s of electricity</w:t>
      </w:r>
      <w:r w:rsidR="0078352A">
        <w:rPr>
          <w:sz w:val="20"/>
        </w:rPr>
        <w:t xml:space="preserve"> </w:t>
      </w:r>
      <w:r>
        <w:rPr>
          <w:sz w:val="20"/>
        </w:rPr>
        <w:t>from Mexico, conversion of vessels for commercial use, and valuation of software imports at market value.</w:t>
      </w:r>
    </w:p>
    <w:p w:rsidR="00266AA5" w:rsidRPr="001A1A7D" w:rsidRDefault="00266AA5" w:rsidP="00C14E42">
      <w:pPr>
        <w:pStyle w:val="Heading1"/>
        <w:spacing w:before="240"/>
        <w:rPr>
          <w:sz w:val="22"/>
          <w:szCs w:val="22"/>
          <w:u w:val="single"/>
        </w:rPr>
      </w:pPr>
      <w:r w:rsidRPr="001A1A7D">
        <w:rPr>
          <w:sz w:val="22"/>
          <w:szCs w:val="22"/>
          <w:u w:val="single"/>
        </w:rPr>
        <w:t>SERVICES</w:t>
      </w:r>
    </w:p>
    <w:p w:rsidR="00266AA5" w:rsidRDefault="00266AA5">
      <w:pPr>
        <w:pStyle w:val="BodyText"/>
      </w:pPr>
      <w:r>
        <w:t xml:space="preserve">The </w:t>
      </w:r>
      <w:r w:rsidR="00CB34C7">
        <w:t xml:space="preserve">services </w:t>
      </w:r>
      <w:r>
        <w:t xml:space="preserve">statistics </w:t>
      </w:r>
      <w:r w:rsidR="00102B18">
        <w:t xml:space="preserve">cover </w:t>
      </w:r>
      <w:r>
        <w:t xml:space="preserve">transactions between foreign countries and the 50 states, the </w:t>
      </w:r>
      <w:smartTag w:uri="urn:schemas-microsoft-com:office:smarttags" w:element="State">
        <w:r>
          <w:t>District of Columbia</w:t>
        </w:r>
      </w:smartTag>
      <w:r>
        <w:t xml:space="preserve">, Puerto Rico, the U.S. Virgin Islands, and other </w:t>
      </w:r>
      <w:smartTag w:uri="urn:schemas-microsoft-com:office:smarttags" w:element="place">
        <w:smartTag w:uri="urn:schemas-microsoft-com:office:smarttags" w:element="country-region">
          <w:r>
            <w:t>U.S.</w:t>
          </w:r>
        </w:smartTag>
      </w:smartTag>
      <w:r>
        <w:t xml:space="preserve"> territories and possessions.  Transactions with </w:t>
      </w:r>
      <w:smartTag w:uri="urn:schemas-microsoft-com:office:smarttags" w:element="country-region">
        <w:r>
          <w:t>U.S.</w:t>
        </w:r>
      </w:smartTag>
      <w:r>
        <w:t xml:space="preserve"> military, diplomatic, and consular installations abroad are excluded because th</w:t>
      </w:r>
      <w:r w:rsidR="00CB34C7">
        <w:t xml:space="preserve">ese installations </w:t>
      </w:r>
      <w:r>
        <w:t xml:space="preserve">are considered to be part of the </w:t>
      </w:r>
      <w:smartTag w:uri="urn:schemas-microsoft-com:office:smarttags" w:element="place">
        <w:smartTag w:uri="urn:schemas-microsoft-com:office:smarttags" w:element="country-region">
          <w:r>
            <w:t>U.S.</w:t>
          </w:r>
        </w:smartTag>
      </w:smartTag>
      <w:r>
        <w:t xml:space="preserve"> economy.</w:t>
      </w:r>
    </w:p>
    <w:p w:rsidR="00BF675A" w:rsidRDefault="00BF675A" w:rsidP="00BF675A">
      <w:pPr>
        <w:pStyle w:val="BodyText"/>
      </w:pPr>
      <w:r>
        <w:t xml:space="preserve">Services </w:t>
      </w:r>
      <w:r w:rsidR="00102B18">
        <w:t xml:space="preserve">statistics </w:t>
      </w:r>
      <w:r>
        <w:t xml:space="preserve">are based on quarterly, annual, and benchmark surveys and information </w:t>
      </w:r>
      <w:r w:rsidR="00E15CE4">
        <w:t>obtained</w:t>
      </w:r>
      <w:r>
        <w:t xml:space="preserve"> from monthly government and industry reports</w:t>
      </w:r>
      <w:r w:rsidR="00B80539">
        <w:t>.  Services a</w:t>
      </w:r>
      <w:r>
        <w:t xml:space="preserve">re seasonally adjusted when statistically significant seasonal patterns are present.  No </w:t>
      </w:r>
      <w:r w:rsidR="001F255E">
        <w:t xml:space="preserve">monthly </w:t>
      </w:r>
      <w:r>
        <w:t>country or area detail is available due to the lack of adequate source data.</w:t>
      </w:r>
    </w:p>
    <w:p w:rsidR="00266AA5" w:rsidRDefault="00266AA5">
      <w:pPr>
        <w:pStyle w:val="BodyText"/>
      </w:pPr>
      <w:r>
        <w:t xml:space="preserve">Services are shown in seven broad categories.  </w:t>
      </w:r>
      <w:r w:rsidR="00CB34C7">
        <w:t xml:space="preserve">The types of </w:t>
      </w:r>
      <w:r>
        <w:t xml:space="preserve">services for </w:t>
      </w:r>
      <w:r w:rsidR="00CB34C7">
        <w:t>ex</w:t>
      </w:r>
      <w:r>
        <w:t xml:space="preserve">ports and </w:t>
      </w:r>
      <w:r w:rsidR="00CB34C7">
        <w:t>im</w:t>
      </w:r>
      <w:r>
        <w:t xml:space="preserve">ports are the same for six of the categories.  For the seventh, </w:t>
      </w:r>
      <w:r w:rsidR="00565CC0">
        <w:t xml:space="preserve">the export category </w:t>
      </w:r>
      <w:r>
        <w:t xml:space="preserve">is </w:t>
      </w:r>
      <w:r w:rsidR="00330EE1" w:rsidRPr="009D3025">
        <w:rPr>
          <w:i/>
        </w:rPr>
        <w:t>t</w:t>
      </w:r>
      <w:r w:rsidRPr="009D3025">
        <w:rPr>
          <w:i/>
        </w:rPr>
        <w:t xml:space="preserve">ransfers </w:t>
      </w:r>
      <w:r w:rsidR="00CB34C7" w:rsidRPr="009D3025">
        <w:rPr>
          <w:i/>
        </w:rPr>
        <w:t>u</w:t>
      </w:r>
      <w:r w:rsidRPr="009D3025">
        <w:rPr>
          <w:i/>
        </w:rPr>
        <w:t xml:space="preserve">nder U.S. </w:t>
      </w:r>
      <w:r w:rsidR="00CB34C7" w:rsidRPr="009D3025">
        <w:rPr>
          <w:i/>
        </w:rPr>
        <w:t>m</w:t>
      </w:r>
      <w:r w:rsidRPr="009D3025">
        <w:rPr>
          <w:i/>
        </w:rPr>
        <w:t xml:space="preserve">ilitary </w:t>
      </w:r>
      <w:r w:rsidR="00CB34C7" w:rsidRPr="009D3025">
        <w:rPr>
          <w:i/>
        </w:rPr>
        <w:t>s</w:t>
      </w:r>
      <w:r w:rsidRPr="009D3025">
        <w:rPr>
          <w:i/>
        </w:rPr>
        <w:t xml:space="preserve">ales </w:t>
      </w:r>
      <w:r w:rsidR="00CB34C7" w:rsidRPr="009D3025">
        <w:rPr>
          <w:i/>
        </w:rPr>
        <w:t>c</w:t>
      </w:r>
      <w:r w:rsidRPr="009D3025">
        <w:rPr>
          <w:i/>
        </w:rPr>
        <w:t>ontracts</w:t>
      </w:r>
      <w:r>
        <w:t xml:space="preserve"> </w:t>
      </w:r>
      <w:r w:rsidR="007A46CB">
        <w:t>and</w:t>
      </w:r>
      <w:r>
        <w:t xml:space="preserve"> </w:t>
      </w:r>
      <w:r w:rsidR="00565CC0">
        <w:t xml:space="preserve">the </w:t>
      </w:r>
      <w:r>
        <w:t xml:space="preserve">import category is </w:t>
      </w:r>
      <w:r w:rsidR="00330EE1" w:rsidRPr="009D3025">
        <w:rPr>
          <w:i/>
        </w:rPr>
        <w:t>d</w:t>
      </w:r>
      <w:r w:rsidRPr="009D3025">
        <w:rPr>
          <w:i/>
        </w:rPr>
        <w:t xml:space="preserve">irect </w:t>
      </w:r>
      <w:r w:rsidR="00CB34C7" w:rsidRPr="009D3025">
        <w:rPr>
          <w:i/>
        </w:rPr>
        <w:t>d</w:t>
      </w:r>
      <w:r w:rsidRPr="009D3025">
        <w:rPr>
          <w:i/>
        </w:rPr>
        <w:t xml:space="preserve">efense </w:t>
      </w:r>
      <w:r w:rsidR="00CB34C7" w:rsidRPr="009D3025">
        <w:rPr>
          <w:i/>
        </w:rPr>
        <w:t>e</w:t>
      </w:r>
      <w:r w:rsidRPr="009D3025">
        <w:rPr>
          <w:i/>
        </w:rPr>
        <w:t>xpenditures.</w:t>
      </w:r>
      <w:r>
        <w:t xml:space="preserve">  The following is a brief description of the types of services included in each category:</w:t>
      </w:r>
    </w:p>
    <w:p w:rsidR="00F57CF9" w:rsidRDefault="00266AA5">
      <w:pPr>
        <w:pStyle w:val="BodyText"/>
        <w:ind w:left="360"/>
      </w:pPr>
      <w:r>
        <w:rPr>
          <w:b/>
          <w:bCs/>
        </w:rPr>
        <w:t>Travel</w:t>
      </w:r>
      <w:r>
        <w:t xml:space="preserve"> - Purchases of services and goods by </w:t>
      </w:r>
      <w:smartTag w:uri="urn:schemas-microsoft-com:office:smarttags" w:element="country-region">
        <w:r>
          <w:t>U.S.</w:t>
        </w:r>
      </w:smartTag>
      <w:r>
        <w:t xml:space="preserve"> travelers abroad and by foreign visitors to the </w:t>
      </w:r>
      <w:smartTag w:uri="urn:schemas-microsoft-com:office:smarttags" w:element="place">
        <w:smartTag w:uri="urn:schemas-microsoft-com:office:smarttags" w:element="country-region">
          <w:r>
            <w:t>United States</w:t>
          </w:r>
        </w:smartTag>
      </w:smartTag>
      <w:r>
        <w:t>.  A traveler is defined as a person who stays for a period of less than 1 year in a country of which the person is not a resident.  Includes</w:t>
      </w:r>
      <w:r w:rsidR="00BD351F">
        <w:t xml:space="preserve"> cruise fares and </w:t>
      </w:r>
      <w:r>
        <w:t>expenditures for food, lodging, recreation, gifts, and other items incidental to a foreign visit</w:t>
      </w:r>
      <w:r w:rsidR="00BD351F">
        <w:t>.</w:t>
      </w:r>
    </w:p>
    <w:p w:rsidR="00F57CF9" w:rsidRDefault="00266AA5">
      <w:pPr>
        <w:pStyle w:val="BodyText"/>
        <w:ind w:left="360"/>
      </w:pPr>
      <w:r>
        <w:rPr>
          <w:b/>
          <w:bCs/>
        </w:rPr>
        <w:t xml:space="preserve">Passenger </w:t>
      </w:r>
      <w:r w:rsidR="00D90C61">
        <w:rPr>
          <w:b/>
          <w:bCs/>
        </w:rPr>
        <w:t>f</w:t>
      </w:r>
      <w:r>
        <w:rPr>
          <w:b/>
          <w:bCs/>
        </w:rPr>
        <w:t>ares</w:t>
      </w:r>
      <w:r>
        <w:t xml:space="preserve"> </w:t>
      </w:r>
      <w:r w:rsidR="00753078">
        <w:t xml:space="preserve">- </w:t>
      </w:r>
      <w:r>
        <w:t xml:space="preserve">Fares paid by residents of one country to </w:t>
      </w:r>
      <w:r w:rsidR="00E9234F">
        <w:t xml:space="preserve">transportation carriers </w:t>
      </w:r>
      <w:r>
        <w:t xml:space="preserve">of other countries.  Receipts consist of fares received by </w:t>
      </w:r>
      <w:smartTag w:uri="urn:schemas-microsoft-com:office:smarttags" w:element="country-region">
        <w:r>
          <w:t>U.S.</w:t>
        </w:r>
      </w:smartTag>
      <w:r>
        <w:t xml:space="preserve"> carriers from foreign residents for travel between the </w:t>
      </w:r>
      <w:smartTag w:uri="urn:schemas-microsoft-com:office:smarttags" w:element="place">
        <w:smartTag w:uri="urn:schemas-microsoft-com:office:smarttags" w:element="country-region">
          <w:r>
            <w:t>United States</w:t>
          </w:r>
        </w:smartTag>
      </w:smartTag>
      <w:r>
        <w:t xml:space="preserve"> and foreign countries and between two foreign points.  Payments consist of fares paid by U.S. residents to foreign carriers for travel between the United States and foreign countries.</w:t>
      </w:r>
      <w:r w:rsidR="00600852">
        <w:t xml:space="preserve">  Excludes cruise fares, which are included in </w:t>
      </w:r>
      <w:r w:rsidR="00600852" w:rsidRPr="006A2C38">
        <w:rPr>
          <w:i/>
        </w:rPr>
        <w:t>travel</w:t>
      </w:r>
      <w:r w:rsidR="00600852">
        <w:t>.</w:t>
      </w:r>
    </w:p>
    <w:p w:rsidR="00254194" w:rsidRDefault="00266AA5">
      <w:pPr>
        <w:pStyle w:val="BodyText"/>
        <w:ind w:left="360"/>
      </w:pPr>
      <w:r>
        <w:rPr>
          <w:b/>
          <w:bCs/>
        </w:rPr>
        <w:t xml:space="preserve">Other </w:t>
      </w:r>
      <w:r w:rsidR="00D90C61">
        <w:rPr>
          <w:b/>
          <w:bCs/>
        </w:rPr>
        <w:t>t</w:t>
      </w:r>
      <w:r>
        <w:rPr>
          <w:b/>
          <w:bCs/>
        </w:rPr>
        <w:t>ransportation</w:t>
      </w:r>
      <w:r>
        <w:t xml:space="preserve"> </w:t>
      </w:r>
      <w:r w:rsidR="00753078">
        <w:t xml:space="preserve">- </w:t>
      </w:r>
      <w:r w:rsidR="00217887">
        <w:t xml:space="preserve">Transactions </w:t>
      </w:r>
      <w:r w:rsidR="004248BC">
        <w:t xml:space="preserve">include </w:t>
      </w:r>
      <w:r w:rsidR="00D9281A">
        <w:t xml:space="preserve">freight </w:t>
      </w:r>
      <w:r w:rsidR="004248BC">
        <w:t>c</w:t>
      </w:r>
      <w:r>
        <w:t xml:space="preserve">harges for the transportation of goods </w:t>
      </w:r>
      <w:r w:rsidR="00D9281A">
        <w:t xml:space="preserve">to and from the United States, </w:t>
      </w:r>
      <w:r>
        <w:t>operating expenses that transportation companies incur in foreign ports</w:t>
      </w:r>
      <w:r w:rsidR="002A1471">
        <w:t>,</w:t>
      </w:r>
      <w:r w:rsidR="00E5233D">
        <w:t xml:space="preserve"> </w:t>
      </w:r>
      <w:r w:rsidR="00494A6B">
        <w:t xml:space="preserve">postal services, </w:t>
      </w:r>
      <w:r>
        <w:t xml:space="preserve">and payments for vessel charter and aircraft </w:t>
      </w:r>
      <w:r w:rsidR="00C07C15">
        <w:t>leases</w:t>
      </w:r>
      <w:r>
        <w:t xml:space="preserve"> with crew.</w:t>
      </w:r>
      <w:r w:rsidR="00612FB7">
        <w:t xml:space="preserve">  </w:t>
      </w:r>
      <w:r w:rsidR="00BD351F">
        <w:t>E</w:t>
      </w:r>
      <w:r w:rsidR="00E5233D">
        <w:t xml:space="preserve">xcludes air and ocean carriers’ fuel purchases in foreign ports, which are included </w:t>
      </w:r>
      <w:r w:rsidR="009F0F19">
        <w:t>in exports and imports of goods</w:t>
      </w:r>
      <w:r w:rsidR="001961E2">
        <w:t xml:space="preserve"> on a balance of payments (BOP) basis</w:t>
      </w:r>
      <w:r w:rsidR="00494A6B">
        <w:t>.</w:t>
      </w:r>
    </w:p>
    <w:p w:rsidR="00266AA5" w:rsidRPr="00694356" w:rsidRDefault="00254194" w:rsidP="00694356">
      <w:pPr>
        <w:ind w:left="360"/>
        <w:jc w:val="both"/>
        <w:rPr>
          <w:sz w:val="20"/>
          <w:szCs w:val="20"/>
        </w:rPr>
      </w:pPr>
      <w:r>
        <w:br w:type="page"/>
      </w:r>
      <w:r w:rsidR="00266AA5" w:rsidRPr="00694356">
        <w:rPr>
          <w:b/>
          <w:bCs/>
          <w:sz w:val="20"/>
          <w:szCs w:val="20"/>
        </w:rPr>
        <w:lastRenderedPageBreak/>
        <w:t xml:space="preserve">Royalties and </w:t>
      </w:r>
      <w:r w:rsidR="00D90C61" w:rsidRPr="00694356">
        <w:rPr>
          <w:b/>
          <w:bCs/>
          <w:sz w:val="20"/>
          <w:szCs w:val="20"/>
        </w:rPr>
        <w:t>l</w:t>
      </w:r>
      <w:r w:rsidR="00266AA5" w:rsidRPr="00694356">
        <w:rPr>
          <w:b/>
          <w:bCs/>
          <w:sz w:val="20"/>
          <w:szCs w:val="20"/>
        </w:rPr>
        <w:t xml:space="preserve">icense </w:t>
      </w:r>
      <w:r w:rsidR="00D90C61" w:rsidRPr="00694356">
        <w:rPr>
          <w:b/>
          <w:bCs/>
          <w:sz w:val="20"/>
          <w:szCs w:val="20"/>
        </w:rPr>
        <w:t>f</w:t>
      </w:r>
      <w:r w:rsidR="00266AA5" w:rsidRPr="00694356">
        <w:rPr>
          <w:b/>
          <w:bCs/>
          <w:sz w:val="20"/>
          <w:szCs w:val="20"/>
        </w:rPr>
        <w:t>ees</w:t>
      </w:r>
      <w:r w:rsidR="00266AA5" w:rsidRPr="00694356">
        <w:rPr>
          <w:sz w:val="20"/>
          <w:szCs w:val="20"/>
        </w:rPr>
        <w:t xml:space="preserve"> - Transactions </w:t>
      </w:r>
      <w:r w:rsidR="003F1718" w:rsidRPr="00694356">
        <w:rPr>
          <w:sz w:val="20"/>
          <w:szCs w:val="20"/>
        </w:rPr>
        <w:t>for the rights to use</w:t>
      </w:r>
      <w:r w:rsidR="009916B7" w:rsidRPr="00694356">
        <w:rPr>
          <w:sz w:val="20"/>
          <w:szCs w:val="20"/>
        </w:rPr>
        <w:t xml:space="preserve">, </w:t>
      </w:r>
      <w:r w:rsidR="003F1718" w:rsidRPr="00694356">
        <w:rPr>
          <w:sz w:val="20"/>
          <w:szCs w:val="20"/>
        </w:rPr>
        <w:t>the rights to reproduce or distribute</w:t>
      </w:r>
      <w:r w:rsidR="009916B7" w:rsidRPr="00694356">
        <w:rPr>
          <w:sz w:val="20"/>
          <w:szCs w:val="20"/>
        </w:rPr>
        <w:t xml:space="preserve">, </w:t>
      </w:r>
      <w:r w:rsidR="003F1718" w:rsidRPr="00694356">
        <w:rPr>
          <w:sz w:val="20"/>
          <w:szCs w:val="20"/>
        </w:rPr>
        <w:t>and the outright sale of intellectual property</w:t>
      </w:r>
      <w:r w:rsidR="009916B7" w:rsidRPr="00694356">
        <w:rPr>
          <w:sz w:val="20"/>
          <w:szCs w:val="20"/>
        </w:rPr>
        <w:t xml:space="preserve"> such as </w:t>
      </w:r>
      <w:r w:rsidR="00266AA5" w:rsidRPr="00694356">
        <w:rPr>
          <w:sz w:val="20"/>
          <w:szCs w:val="20"/>
        </w:rPr>
        <w:t>patents, techniques, processes, formulas, designs, know-how, trademarks, copyrights, franchises, and manufacturing rights.  The term "royalties" generally refers to payments for the u</w:t>
      </w:r>
      <w:r w:rsidR="008115AD" w:rsidRPr="00694356">
        <w:rPr>
          <w:sz w:val="20"/>
          <w:szCs w:val="20"/>
        </w:rPr>
        <w:t xml:space="preserve">se </w:t>
      </w:r>
      <w:r w:rsidR="00266AA5" w:rsidRPr="00694356">
        <w:rPr>
          <w:sz w:val="20"/>
          <w:szCs w:val="20"/>
        </w:rPr>
        <w:t>of copyrights or trademarks</w:t>
      </w:r>
      <w:r w:rsidR="00BD351F" w:rsidRPr="00694356">
        <w:rPr>
          <w:sz w:val="20"/>
          <w:szCs w:val="20"/>
        </w:rPr>
        <w:t>;</w:t>
      </w:r>
      <w:r w:rsidR="00266AA5" w:rsidRPr="00694356">
        <w:rPr>
          <w:sz w:val="20"/>
          <w:szCs w:val="20"/>
        </w:rPr>
        <w:t xml:space="preserve"> the term "license fees" generally refers to payments for the use of patents or industrial processes.</w:t>
      </w:r>
      <w:r w:rsidR="009916B7" w:rsidRPr="00694356">
        <w:rPr>
          <w:sz w:val="20"/>
          <w:szCs w:val="20"/>
        </w:rPr>
        <w:t xml:space="preserve">  Include</w:t>
      </w:r>
      <w:r w:rsidR="00303E54" w:rsidRPr="00694356">
        <w:rPr>
          <w:sz w:val="20"/>
          <w:szCs w:val="20"/>
        </w:rPr>
        <w:t>s</w:t>
      </w:r>
      <w:r w:rsidR="009916B7" w:rsidRPr="00694356">
        <w:rPr>
          <w:sz w:val="20"/>
          <w:szCs w:val="20"/>
        </w:rPr>
        <w:t xml:space="preserve"> fees for the rights to distribute film and television recordings.</w:t>
      </w:r>
      <w:r w:rsidR="00D90C61" w:rsidRPr="00694356">
        <w:rPr>
          <w:sz w:val="20"/>
          <w:szCs w:val="20"/>
        </w:rPr>
        <w:t xml:space="preserve">  </w:t>
      </w:r>
      <w:r w:rsidR="003F1718" w:rsidRPr="00694356">
        <w:rPr>
          <w:sz w:val="20"/>
          <w:szCs w:val="20"/>
        </w:rPr>
        <w:t xml:space="preserve">Includes transactions </w:t>
      </w:r>
      <w:r w:rsidR="00D90C61" w:rsidRPr="00694356">
        <w:rPr>
          <w:sz w:val="20"/>
          <w:szCs w:val="20"/>
        </w:rPr>
        <w:t xml:space="preserve">with </w:t>
      </w:r>
      <w:r w:rsidR="00AF409C" w:rsidRPr="00694356">
        <w:rPr>
          <w:sz w:val="20"/>
          <w:szCs w:val="20"/>
        </w:rPr>
        <w:t xml:space="preserve">both </w:t>
      </w:r>
      <w:r w:rsidR="00D90C61" w:rsidRPr="00694356">
        <w:rPr>
          <w:sz w:val="20"/>
          <w:szCs w:val="20"/>
        </w:rPr>
        <w:t xml:space="preserve">affiliated </w:t>
      </w:r>
      <w:r w:rsidR="00CB34C7" w:rsidRPr="00694356">
        <w:rPr>
          <w:sz w:val="20"/>
          <w:szCs w:val="20"/>
        </w:rPr>
        <w:t>(related</w:t>
      </w:r>
      <w:r w:rsidR="00BF675A" w:rsidRPr="00694356">
        <w:rPr>
          <w:sz w:val="20"/>
          <w:szCs w:val="20"/>
        </w:rPr>
        <w:t xml:space="preserve"> </w:t>
      </w:r>
      <w:r w:rsidR="00CB34C7" w:rsidRPr="00694356">
        <w:rPr>
          <w:sz w:val="20"/>
          <w:szCs w:val="20"/>
        </w:rPr>
        <w:t>part</w:t>
      </w:r>
      <w:r w:rsidR="00625EFA" w:rsidRPr="00694356">
        <w:rPr>
          <w:sz w:val="20"/>
          <w:szCs w:val="20"/>
        </w:rPr>
        <w:t>ies</w:t>
      </w:r>
      <w:r w:rsidR="00CB34C7" w:rsidRPr="00694356">
        <w:rPr>
          <w:sz w:val="20"/>
          <w:szCs w:val="20"/>
        </w:rPr>
        <w:t xml:space="preserve">) </w:t>
      </w:r>
      <w:r w:rsidR="00D90C61" w:rsidRPr="00694356">
        <w:rPr>
          <w:sz w:val="20"/>
          <w:szCs w:val="20"/>
        </w:rPr>
        <w:t>and unaffiliated foreign residents.</w:t>
      </w:r>
    </w:p>
    <w:p w:rsidR="00266AA5" w:rsidRDefault="00266AA5" w:rsidP="006B30AE">
      <w:pPr>
        <w:pStyle w:val="BodyText"/>
        <w:spacing w:before="100" w:beforeAutospacing="1" w:after="100" w:afterAutospacing="1"/>
        <w:ind w:left="360"/>
      </w:pPr>
      <w:r>
        <w:rPr>
          <w:b/>
          <w:bCs/>
          <w:color w:val="000000"/>
          <w:szCs w:val="20"/>
        </w:rPr>
        <w:t xml:space="preserve">Other </w:t>
      </w:r>
      <w:r w:rsidR="00D90C61">
        <w:rPr>
          <w:b/>
          <w:bCs/>
          <w:color w:val="000000"/>
          <w:szCs w:val="20"/>
        </w:rPr>
        <w:t>p</w:t>
      </w:r>
      <w:r>
        <w:rPr>
          <w:b/>
          <w:bCs/>
          <w:color w:val="000000"/>
          <w:szCs w:val="20"/>
        </w:rPr>
        <w:t xml:space="preserve">rivate </w:t>
      </w:r>
      <w:r w:rsidR="00D90C61">
        <w:rPr>
          <w:b/>
          <w:bCs/>
          <w:color w:val="000000"/>
          <w:szCs w:val="20"/>
        </w:rPr>
        <w:t>s</w:t>
      </w:r>
      <w:r>
        <w:rPr>
          <w:b/>
          <w:bCs/>
          <w:color w:val="000000"/>
          <w:szCs w:val="20"/>
        </w:rPr>
        <w:t>ervices</w:t>
      </w:r>
      <w:r>
        <w:rPr>
          <w:color w:val="000000"/>
          <w:szCs w:val="20"/>
        </w:rPr>
        <w:t xml:space="preserve"> - Transactions </w:t>
      </w:r>
      <w:r w:rsidR="00D90C61">
        <w:rPr>
          <w:color w:val="000000"/>
          <w:szCs w:val="20"/>
        </w:rPr>
        <w:t xml:space="preserve">consist of </w:t>
      </w:r>
      <w:r>
        <w:rPr>
          <w:color w:val="000000"/>
          <w:szCs w:val="20"/>
        </w:rPr>
        <w:t xml:space="preserve">education services; financial services (includes </w:t>
      </w:r>
      <w:r w:rsidR="008115AD">
        <w:rPr>
          <w:color w:val="000000"/>
          <w:szCs w:val="20"/>
        </w:rPr>
        <w:t xml:space="preserve">fees and commissions and </w:t>
      </w:r>
      <w:r>
        <w:rPr>
          <w:color w:val="000000"/>
          <w:szCs w:val="20"/>
        </w:rPr>
        <w:t>excludes investment income); insurance services; telecommunications services (includes transmission services and value-added services); business, professional, and technical services (includes advertising services; computer and data processing services; database and other information services; research, development, and testing services; management, consulting, and public relations services; legal services; construction services; architectural and engineering services; mining services; industrial engineering services; installation, maintenance, and repair of equipment; and medical services); and other services.</w:t>
      </w:r>
      <w:r w:rsidR="00FF1142">
        <w:rPr>
          <w:color w:val="000000"/>
          <w:szCs w:val="20"/>
        </w:rPr>
        <w:t xml:space="preserve">  </w:t>
      </w:r>
      <w:r w:rsidR="00196258">
        <w:rPr>
          <w:color w:val="000000"/>
          <w:szCs w:val="20"/>
        </w:rPr>
        <w:t>I</w:t>
      </w:r>
      <w:r w:rsidR="00494A6B">
        <w:t xml:space="preserve">ncludes </w:t>
      </w:r>
      <w:r w:rsidR="00CB34C7">
        <w:t xml:space="preserve">transactions with </w:t>
      </w:r>
      <w:r w:rsidR="00AF409C">
        <w:t xml:space="preserve">both </w:t>
      </w:r>
      <w:r w:rsidR="00CB34C7">
        <w:t>affiliated (related</w:t>
      </w:r>
      <w:r w:rsidR="00BF675A">
        <w:t xml:space="preserve"> </w:t>
      </w:r>
      <w:r w:rsidR="00CB34C7">
        <w:t>part</w:t>
      </w:r>
      <w:r w:rsidR="00625EFA">
        <w:t>ies</w:t>
      </w:r>
      <w:r w:rsidR="00CB34C7">
        <w:t>) and unaffiliated foreign residents.</w:t>
      </w:r>
    </w:p>
    <w:p w:rsidR="00266AA5" w:rsidRDefault="00266AA5" w:rsidP="00891282">
      <w:pPr>
        <w:pStyle w:val="BodyText"/>
        <w:spacing w:before="100" w:beforeAutospacing="1" w:after="100" w:afterAutospacing="1"/>
        <w:ind w:left="360"/>
      </w:pPr>
      <w:r>
        <w:rPr>
          <w:b/>
          <w:bCs/>
        </w:rPr>
        <w:t xml:space="preserve">Transfers </w:t>
      </w:r>
      <w:r w:rsidR="00D90C61">
        <w:rPr>
          <w:b/>
          <w:bCs/>
        </w:rPr>
        <w:t>u</w:t>
      </w:r>
      <w:r>
        <w:rPr>
          <w:b/>
          <w:bCs/>
        </w:rPr>
        <w:t xml:space="preserve">nder U.S. </w:t>
      </w:r>
      <w:r w:rsidR="00D90C61">
        <w:rPr>
          <w:b/>
          <w:bCs/>
        </w:rPr>
        <w:t>m</w:t>
      </w:r>
      <w:r>
        <w:rPr>
          <w:b/>
          <w:bCs/>
        </w:rPr>
        <w:t xml:space="preserve">ilitary </w:t>
      </w:r>
      <w:r w:rsidR="00D90C61">
        <w:rPr>
          <w:b/>
          <w:bCs/>
        </w:rPr>
        <w:t>s</w:t>
      </w:r>
      <w:r>
        <w:rPr>
          <w:b/>
          <w:bCs/>
        </w:rPr>
        <w:t xml:space="preserve">ales </w:t>
      </w:r>
      <w:r w:rsidR="00D90C61">
        <w:rPr>
          <w:b/>
          <w:bCs/>
        </w:rPr>
        <w:t>c</w:t>
      </w:r>
      <w:r>
        <w:rPr>
          <w:b/>
          <w:bCs/>
        </w:rPr>
        <w:t>ontracts</w:t>
      </w:r>
      <w:r>
        <w:t xml:space="preserve"> (</w:t>
      </w:r>
      <w:r>
        <w:rPr>
          <w:i/>
          <w:iCs/>
        </w:rPr>
        <w:t>Exports only</w:t>
      </w:r>
      <w:r>
        <w:t xml:space="preserve">) </w:t>
      </w:r>
      <w:r w:rsidR="00753078">
        <w:t xml:space="preserve">- </w:t>
      </w:r>
      <w:r w:rsidR="009F0F19">
        <w:t xml:space="preserve">Transactions </w:t>
      </w:r>
      <w:r w:rsidR="00777917">
        <w:t>i</w:t>
      </w:r>
      <w:r w:rsidR="00521C75">
        <w:t>nclude e</w:t>
      </w:r>
      <w:r w:rsidR="00521C75" w:rsidRPr="00071C1A">
        <w:t xml:space="preserve">xports of services, such as training services and repair services, provided by U.S. government military agencies through grants and the </w:t>
      </w:r>
      <w:r w:rsidR="00521C75">
        <w:t xml:space="preserve">U.S. </w:t>
      </w:r>
      <w:r w:rsidR="00521C75" w:rsidRPr="00071C1A">
        <w:t xml:space="preserve">Foreign Military Sales </w:t>
      </w:r>
      <w:r w:rsidR="00521C75">
        <w:t xml:space="preserve">(FMS) </w:t>
      </w:r>
      <w:r w:rsidR="00521C75" w:rsidRPr="00071C1A">
        <w:t>program</w:t>
      </w:r>
      <w:r w:rsidR="00BD329F">
        <w:t>.  I</w:t>
      </w:r>
      <w:r w:rsidR="00612FB7">
        <w:t xml:space="preserve">ncludes </w:t>
      </w:r>
      <w:r w:rsidR="00B309E4">
        <w:t xml:space="preserve">exports </w:t>
      </w:r>
      <w:r w:rsidR="00521C75" w:rsidRPr="00071C1A">
        <w:t>of goods that are commingled in the source data and cannot be separately identified</w:t>
      </w:r>
      <w:r w:rsidR="00612FB7">
        <w:t xml:space="preserve">.  </w:t>
      </w:r>
      <w:r w:rsidR="00494A6B">
        <w:t>E</w:t>
      </w:r>
      <w:r w:rsidR="00612FB7">
        <w:t>xcludes e</w:t>
      </w:r>
      <w:r w:rsidR="00B309E4">
        <w:t>xports of goods under the FMS program</w:t>
      </w:r>
      <w:r w:rsidR="00612FB7">
        <w:t xml:space="preserve">, which </w:t>
      </w:r>
      <w:r w:rsidR="00B309E4">
        <w:t xml:space="preserve">are included in </w:t>
      </w:r>
      <w:r w:rsidR="00013E14">
        <w:t xml:space="preserve">exports of </w:t>
      </w:r>
      <w:r w:rsidR="00B309E4">
        <w:t>goods</w:t>
      </w:r>
      <w:r w:rsidR="001961E2">
        <w:t xml:space="preserve"> on a BOP basis</w:t>
      </w:r>
      <w:r w:rsidR="00B309E4">
        <w:t>.</w:t>
      </w:r>
    </w:p>
    <w:p w:rsidR="00B453C2" w:rsidRDefault="00266AA5">
      <w:pPr>
        <w:pStyle w:val="BodyText"/>
        <w:ind w:left="360"/>
        <w:rPr>
          <w:b/>
          <w:bCs/>
        </w:rPr>
      </w:pPr>
      <w:r>
        <w:rPr>
          <w:b/>
          <w:bCs/>
        </w:rPr>
        <w:t xml:space="preserve">Direct </w:t>
      </w:r>
      <w:r w:rsidR="00D7086F">
        <w:rPr>
          <w:b/>
          <w:bCs/>
        </w:rPr>
        <w:t>d</w:t>
      </w:r>
      <w:r>
        <w:rPr>
          <w:b/>
          <w:bCs/>
        </w:rPr>
        <w:t xml:space="preserve">efense </w:t>
      </w:r>
      <w:r w:rsidR="00D7086F">
        <w:rPr>
          <w:b/>
          <w:bCs/>
        </w:rPr>
        <w:t>e</w:t>
      </w:r>
      <w:r>
        <w:rPr>
          <w:b/>
          <w:bCs/>
        </w:rPr>
        <w:t>xpenditures</w:t>
      </w:r>
      <w:r>
        <w:t xml:space="preserve"> (</w:t>
      </w:r>
      <w:r>
        <w:rPr>
          <w:i/>
          <w:iCs/>
        </w:rPr>
        <w:t>Imports only</w:t>
      </w:r>
      <w:r>
        <w:t xml:space="preserve">) - </w:t>
      </w:r>
      <w:r w:rsidR="0027095E">
        <w:t xml:space="preserve">Transactions </w:t>
      </w:r>
      <w:r w:rsidR="00891282">
        <w:t>include e</w:t>
      </w:r>
      <w:r>
        <w:t>xpenditures by U.S. military agencies abroad, including expenditures by U.S. personnel, payments of wages to foreign residents, construction expenditures, payments for foreign contractual services, and procurement of foreign goods</w:t>
      </w:r>
      <w:r w:rsidR="001D34CE">
        <w:t xml:space="preserve">.  </w:t>
      </w:r>
      <w:r w:rsidR="00494A6B">
        <w:t>E</w:t>
      </w:r>
      <w:r w:rsidR="001D34CE">
        <w:t xml:space="preserve">xcludes </w:t>
      </w:r>
      <w:r w:rsidR="00A71BEB">
        <w:t>petroleum purchases abroad, which are included in imports of goods</w:t>
      </w:r>
      <w:r w:rsidR="001961E2">
        <w:t xml:space="preserve"> on a BOP basis.</w:t>
      </w:r>
    </w:p>
    <w:p w:rsidR="00266AA5" w:rsidRDefault="00266AA5">
      <w:pPr>
        <w:pStyle w:val="BodyText"/>
        <w:ind w:left="360"/>
        <w:rPr>
          <w:sz w:val="21"/>
        </w:rPr>
      </w:pPr>
      <w:r>
        <w:rPr>
          <w:b/>
          <w:bCs/>
        </w:rPr>
        <w:t>U.S.</w:t>
      </w:r>
      <w:r w:rsidR="00A71BEB">
        <w:rPr>
          <w:b/>
          <w:bCs/>
        </w:rPr>
        <w:t xml:space="preserve"> </w:t>
      </w:r>
      <w:r w:rsidR="00592403">
        <w:rPr>
          <w:b/>
          <w:bCs/>
        </w:rPr>
        <w:t>g</w:t>
      </w:r>
      <w:r>
        <w:rPr>
          <w:b/>
          <w:bCs/>
        </w:rPr>
        <w:t xml:space="preserve">overnment </w:t>
      </w:r>
      <w:r w:rsidR="00592403">
        <w:rPr>
          <w:b/>
          <w:bCs/>
        </w:rPr>
        <w:t>m</w:t>
      </w:r>
      <w:r>
        <w:rPr>
          <w:b/>
          <w:bCs/>
        </w:rPr>
        <w:t xml:space="preserve">iscellaneous </w:t>
      </w:r>
      <w:r w:rsidR="00592403">
        <w:rPr>
          <w:b/>
          <w:bCs/>
        </w:rPr>
        <w:t>s</w:t>
      </w:r>
      <w:r>
        <w:rPr>
          <w:b/>
          <w:bCs/>
        </w:rPr>
        <w:t>ervices</w:t>
      </w:r>
      <w:r>
        <w:t xml:space="preserve"> - Transactions of U.S. government nonmilitary agencies with foreign residents.  Most of these transactions involve the provision of services to, or purchases of services from, foreigners</w:t>
      </w:r>
      <w:r w:rsidR="002A7517">
        <w:t xml:space="preserve">.  </w:t>
      </w:r>
      <w:r w:rsidR="006A2C38">
        <w:t xml:space="preserve">Some goods transactions </w:t>
      </w:r>
      <w:r w:rsidR="00AC71B2">
        <w:t>are also included</w:t>
      </w:r>
      <w:r w:rsidR="00196258">
        <w:t>.</w:t>
      </w:r>
    </w:p>
    <w:tbl>
      <w:tblPr>
        <w:tblpPr w:leftFromText="195" w:rightFromText="195" w:vertAnchor="page" w:horzAnchor="margin" w:tblpXSpec="right" w:tblpY="826"/>
        <w:tblOverlap w:val="never"/>
        <w:tblW w:w="0" w:type="auto"/>
        <w:tblBorders>
          <w:top w:val="single" w:sz="12" w:space="0" w:color="auto"/>
          <w:left w:val="single" w:sz="12" w:space="0" w:color="auto"/>
          <w:bottom w:val="single" w:sz="12" w:space="0" w:color="auto"/>
          <w:right w:val="single" w:sz="12" w:space="0" w:color="auto"/>
        </w:tblBorders>
        <w:tblLayout w:type="fixed"/>
        <w:tblCellMar>
          <w:left w:w="120" w:type="dxa"/>
          <w:right w:w="15" w:type="dxa"/>
        </w:tblCellMar>
        <w:tblLook w:val="0000" w:firstRow="0" w:lastRow="0" w:firstColumn="0" w:lastColumn="0" w:noHBand="0" w:noVBand="0"/>
      </w:tblPr>
      <w:tblGrid>
        <w:gridCol w:w="659"/>
        <w:gridCol w:w="806"/>
        <w:gridCol w:w="1313"/>
      </w:tblGrid>
      <w:tr w:rsidR="00254194" w:rsidTr="006A2E42">
        <w:trPr>
          <w:trHeight w:val="513"/>
        </w:trPr>
        <w:tc>
          <w:tcPr>
            <w:tcW w:w="2778" w:type="dxa"/>
            <w:gridSpan w:val="3"/>
            <w:vAlign w:val="center"/>
          </w:tcPr>
          <w:p w:rsidR="00254194" w:rsidRDefault="00254194" w:rsidP="00254194">
            <w:pPr>
              <w:rPr>
                <w:sz w:val="16"/>
                <w:szCs w:val="16"/>
              </w:rPr>
            </w:pPr>
            <w:r>
              <w:rPr>
                <w:b/>
                <w:caps/>
                <w:sz w:val="16"/>
              </w:rPr>
              <w:t>Monthly Release Schedule</w:t>
            </w:r>
          </w:p>
        </w:tc>
      </w:tr>
      <w:tr w:rsidR="00254194" w:rsidTr="006A2C38">
        <w:trPr>
          <w:trHeight w:hRule="exact" w:val="283"/>
        </w:trPr>
        <w:tc>
          <w:tcPr>
            <w:tcW w:w="659" w:type="dxa"/>
            <w:vAlign w:val="center"/>
          </w:tcPr>
          <w:p w:rsidR="00254194" w:rsidRDefault="00254194" w:rsidP="00254194">
            <w:pPr>
              <w:pStyle w:val="BodyText"/>
              <w:rPr>
                <w:b/>
                <w:bCs/>
                <w:sz w:val="16"/>
                <w:szCs w:val="16"/>
              </w:rPr>
            </w:pPr>
            <w:r>
              <w:rPr>
                <w:b/>
                <w:bCs/>
                <w:sz w:val="16"/>
                <w:szCs w:val="16"/>
              </w:rPr>
              <w:t>Month</w:t>
            </w:r>
          </w:p>
        </w:tc>
        <w:tc>
          <w:tcPr>
            <w:tcW w:w="806" w:type="dxa"/>
            <w:vAlign w:val="center"/>
          </w:tcPr>
          <w:p w:rsidR="00254194" w:rsidRDefault="00254194" w:rsidP="00254194">
            <w:pPr>
              <w:pStyle w:val="BodyText"/>
              <w:rPr>
                <w:b/>
                <w:bCs/>
                <w:sz w:val="16"/>
                <w:szCs w:val="16"/>
              </w:rPr>
            </w:pPr>
            <w:r>
              <w:rPr>
                <w:b/>
                <w:bCs/>
                <w:sz w:val="16"/>
                <w:szCs w:val="16"/>
              </w:rPr>
              <w:t>Date</w:t>
            </w:r>
          </w:p>
        </w:tc>
        <w:tc>
          <w:tcPr>
            <w:tcW w:w="1313" w:type="dxa"/>
            <w:vAlign w:val="center"/>
          </w:tcPr>
          <w:p w:rsidR="00254194" w:rsidRDefault="00254194" w:rsidP="00254194">
            <w:pPr>
              <w:pStyle w:val="BodyText"/>
              <w:rPr>
                <w:b/>
                <w:bCs/>
                <w:sz w:val="16"/>
                <w:szCs w:val="16"/>
              </w:rPr>
            </w:pPr>
            <w:r>
              <w:rPr>
                <w:b/>
                <w:bCs/>
                <w:sz w:val="16"/>
                <w:szCs w:val="16"/>
              </w:rPr>
              <w:t>Day</w:t>
            </w:r>
          </w:p>
        </w:tc>
      </w:tr>
      <w:tr w:rsidR="00254194" w:rsidTr="006A2C38">
        <w:trPr>
          <w:trHeight w:hRule="exact" w:val="127"/>
        </w:trPr>
        <w:tc>
          <w:tcPr>
            <w:tcW w:w="659" w:type="dxa"/>
            <w:vAlign w:val="bottom"/>
          </w:tcPr>
          <w:p w:rsidR="00254194" w:rsidRDefault="00254194" w:rsidP="00254194">
            <w:pPr>
              <w:pStyle w:val="BodyText"/>
              <w:rPr>
                <w:sz w:val="14"/>
              </w:rPr>
            </w:pPr>
          </w:p>
        </w:tc>
        <w:tc>
          <w:tcPr>
            <w:tcW w:w="806" w:type="dxa"/>
            <w:vAlign w:val="bottom"/>
          </w:tcPr>
          <w:p w:rsidR="00254194" w:rsidRDefault="00254194" w:rsidP="00254194">
            <w:pPr>
              <w:pStyle w:val="BodyText"/>
              <w:rPr>
                <w:sz w:val="14"/>
              </w:rPr>
            </w:pPr>
          </w:p>
        </w:tc>
        <w:tc>
          <w:tcPr>
            <w:tcW w:w="1313" w:type="dxa"/>
            <w:vAlign w:val="bottom"/>
          </w:tcPr>
          <w:p w:rsidR="00254194" w:rsidRDefault="00254194" w:rsidP="00254194">
            <w:pPr>
              <w:pStyle w:val="BodyText"/>
              <w:rPr>
                <w:sz w:val="14"/>
              </w:rPr>
            </w:pPr>
          </w:p>
        </w:tc>
      </w:tr>
      <w:tr w:rsidR="00386FFF" w:rsidTr="00386FFF">
        <w:trPr>
          <w:trHeight w:hRule="exact" w:val="271"/>
        </w:trPr>
        <w:tc>
          <w:tcPr>
            <w:tcW w:w="659" w:type="dxa"/>
          </w:tcPr>
          <w:p w:rsidR="00386FFF" w:rsidRDefault="00386FFF" w:rsidP="00A0337E">
            <w:pPr>
              <w:pStyle w:val="BodyText"/>
              <w:jc w:val="left"/>
              <w:rPr>
                <w:sz w:val="16"/>
                <w:szCs w:val="16"/>
              </w:rPr>
            </w:pPr>
            <w:r>
              <w:rPr>
                <w:sz w:val="16"/>
                <w:szCs w:val="16"/>
              </w:rPr>
              <w:t>Jan</w:t>
            </w:r>
          </w:p>
        </w:tc>
        <w:tc>
          <w:tcPr>
            <w:tcW w:w="806" w:type="dxa"/>
          </w:tcPr>
          <w:p w:rsidR="00386FFF" w:rsidRDefault="00386FFF" w:rsidP="00A0337E">
            <w:pPr>
              <w:pStyle w:val="BodyText"/>
              <w:rPr>
                <w:sz w:val="16"/>
                <w:szCs w:val="16"/>
              </w:rPr>
            </w:pPr>
            <w:r>
              <w:rPr>
                <w:sz w:val="16"/>
                <w:szCs w:val="16"/>
              </w:rPr>
              <w:t>03-09-12</w:t>
            </w:r>
          </w:p>
        </w:tc>
        <w:tc>
          <w:tcPr>
            <w:tcW w:w="1313" w:type="dxa"/>
          </w:tcPr>
          <w:p w:rsidR="00386FFF" w:rsidRDefault="00386FFF" w:rsidP="00A0337E">
            <w:pPr>
              <w:pStyle w:val="BodyText"/>
              <w:jc w:val="left"/>
              <w:rPr>
                <w:sz w:val="16"/>
                <w:szCs w:val="16"/>
              </w:rPr>
            </w:pPr>
            <w:r>
              <w:rPr>
                <w:sz w:val="16"/>
                <w:szCs w:val="16"/>
              </w:rPr>
              <w:t>Friday</w:t>
            </w:r>
          </w:p>
        </w:tc>
      </w:tr>
      <w:tr w:rsidR="00386FFF" w:rsidTr="00386FFF">
        <w:trPr>
          <w:trHeight w:hRule="exact" w:val="300"/>
        </w:trPr>
        <w:tc>
          <w:tcPr>
            <w:tcW w:w="659" w:type="dxa"/>
          </w:tcPr>
          <w:p w:rsidR="00386FFF" w:rsidRDefault="00386FFF" w:rsidP="00254194">
            <w:pPr>
              <w:pStyle w:val="BodyText"/>
              <w:jc w:val="left"/>
              <w:rPr>
                <w:sz w:val="16"/>
                <w:szCs w:val="16"/>
              </w:rPr>
            </w:pPr>
            <w:r>
              <w:rPr>
                <w:sz w:val="16"/>
                <w:szCs w:val="16"/>
              </w:rPr>
              <w:t>Feb</w:t>
            </w:r>
          </w:p>
        </w:tc>
        <w:tc>
          <w:tcPr>
            <w:tcW w:w="806" w:type="dxa"/>
          </w:tcPr>
          <w:p w:rsidR="00386FFF" w:rsidRDefault="00386FFF" w:rsidP="00254194">
            <w:pPr>
              <w:pStyle w:val="BodyText"/>
              <w:jc w:val="left"/>
              <w:rPr>
                <w:sz w:val="16"/>
                <w:szCs w:val="16"/>
              </w:rPr>
            </w:pPr>
            <w:r>
              <w:rPr>
                <w:sz w:val="16"/>
                <w:szCs w:val="16"/>
              </w:rPr>
              <w:t>04-12-12</w:t>
            </w:r>
          </w:p>
        </w:tc>
        <w:tc>
          <w:tcPr>
            <w:tcW w:w="1313" w:type="dxa"/>
          </w:tcPr>
          <w:p w:rsidR="00386FFF" w:rsidRDefault="00386FFF" w:rsidP="00254194">
            <w:pPr>
              <w:pStyle w:val="BodyText"/>
              <w:jc w:val="left"/>
              <w:rPr>
                <w:sz w:val="16"/>
                <w:szCs w:val="16"/>
              </w:rPr>
            </w:pPr>
            <w:r>
              <w:rPr>
                <w:sz w:val="16"/>
                <w:szCs w:val="16"/>
              </w:rPr>
              <w:t>Thursday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Mar</w:t>
            </w:r>
          </w:p>
        </w:tc>
        <w:tc>
          <w:tcPr>
            <w:tcW w:w="806" w:type="dxa"/>
          </w:tcPr>
          <w:p w:rsidR="00386FFF" w:rsidRDefault="00386FFF" w:rsidP="00254194">
            <w:pPr>
              <w:pStyle w:val="BodyText"/>
              <w:jc w:val="left"/>
              <w:rPr>
                <w:sz w:val="16"/>
                <w:szCs w:val="16"/>
              </w:rPr>
            </w:pPr>
            <w:r>
              <w:rPr>
                <w:sz w:val="16"/>
                <w:szCs w:val="16"/>
              </w:rPr>
              <w:t>05-10-12</w:t>
            </w:r>
          </w:p>
        </w:tc>
        <w:tc>
          <w:tcPr>
            <w:tcW w:w="1313" w:type="dxa"/>
          </w:tcPr>
          <w:p w:rsidR="00386FFF" w:rsidRDefault="00386FFF" w:rsidP="00254194">
            <w:pPr>
              <w:pStyle w:val="BodyText"/>
              <w:jc w:val="left"/>
              <w:rPr>
                <w:sz w:val="16"/>
                <w:szCs w:val="16"/>
              </w:rPr>
            </w:pPr>
            <w:r>
              <w:rPr>
                <w:sz w:val="16"/>
                <w:szCs w:val="16"/>
              </w:rPr>
              <w:t>Thursday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Apr</w:t>
            </w:r>
          </w:p>
        </w:tc>
        <w:tc>
          <w:tcPr>
            <w:tcW w:w="806" w:type="dxa"/>
          </w:tcPr>
          <w:p w:rsidR="00386FFF" w:rsidRDefault="00386FFF" w:rsidP="00254194">
            <w:pPr>
              <w:pStyle w:val="BodyText"/>
              <w:jc w:val="left"/>
              <w:rPr>
                <w:sz w:val="16"/>
                <w:szCs w:val="16"/>
              </w:rPr>
            </w:pPr>
            <w:r>
              <w:rPr>
                <w:sz w:val="16"/>
                <w:szCs w:val="16"/>
              </w:rPr>
              <w:t>06-08-12</w:t>
            </w:r>
          </w:p>
        </w:tc>
        <w:tc>
          <w:tcPr>
            <w:tcW w:w="1313" w:type="dxa"/>
          </w:tcPr>
          <w:p w:rsidR="00386FFF" w:rsidRDefault="00386FFF" w:rsidP="00254194">
            <w:pPr>
              <w:pStyle w:val="BodyText"/>
              <w:jc w:val="left"/>
              <w:rPr>
                <w:sz w:val="16"/>
                <w:szCs w:val="16"/>
              </w:rPr>
            </w:pPr>
            <w:r>
              <w:rPr>
                <w:sz w:val="16"/>
                <w:szCs w:val="16"/>
              </w:rPr>
              <w:t>Friday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May</w:t>
            </w:r>
          </w:p>
        </w:tc>
        <w:tc>
          <w:tcPr>
            <w:tcW w:w="806" w:type="dxa"/>
          </w:tcPr>
          <w:p w:rsidR="00386FFF" w:rsidRDefault="00386FFF" w:rsidP="00254194">
            <w:pPr>
              <w:pStyle w:val="BodyText"/>
              <w:jc w:val="left"/>
              <w:rPr>
                <w:sz w:val="16"/>
                <w:szCs w:val="16"/>
              </w:rPr>
            </w:pPr>
            <w:r>
              <w:rPr>
                <w:sz w:val="16"/>
                <w:szCs w:val="16"/>
              </w:rPr>
              <w:t>07-11-12</w:t>
            </w:r>
          </w:p>
        </w:tc>
        <w:tc>
          <w:tcPr>
            <w:tcW w:w="1313" w:type="dxa"/>
          </w:tcPr>
          <w:p w:rsidR="00386FFF" w:rsidRDefault="00386FFF" w:rsidP="00254194">
            <w:pPr>
              <w:pStyle w:val="BodyText"/>
              <w:jc w:val="left"/>
              <w:rPr>
                <w:sz w:val="16"/>
                <w:szCs w:val="16"/>
              </w:rPr>
            </w:pPr>
            <w:r>
              <w:rPr>
                <w:sz w:val="16"/>
                <w:szCs w:val="16"/>
              </w:rPr>
              <w:t>Wednesday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Jun</w:t>
            </w:r>
          </w:p>
        </w:tc>
        <w:tc>
          <w:tcPr>
            <w:tcW w:w="806" w:type="dxa"/>
          </w:tcPr>
          <w:p w:rsidR="00386FFF" w:rsidRDefault="00386FFF" w:rsidP="00254194">
            <w:pPr>
              <w:pStyle w:val="BodyText"/>
              <w:jc w:val="left"/>
              <w:rPr>
                <w:sz w:val="16"/>
                <w:szCs w:val="16"/>
              </w:rPr>
            </w:pPr>
            <w:r>
              <w:rPr>
                <w:sz w:val="16"/>
                <w:szCs w:val="16"/>
              </w:rPr>
              <w:t>08-09-12</w:t>
            </w:r>
          </w:p>
        </w:tc>
        <w:tc>
          <w:tcPr>
            <w:tcW w:w="1313" w:type="dxa"/>
          </w:tcPr>
          <w:p w:rsidR="00386FFF" w:rsidRDefault="00386FFF" w:rsidP="00254194">
            <w:pPr>
              <w:pStyle w:val="BodyText"/>
              <w:jc w:val="left"/>
              <w:rPr>
                <w:sz w:val="16"/>
                <w:szCs w:val="16"/>
              </w:rPr>
            </w:pPr>
            <w:r>
              <w:rPr>
                <w:sz w:val="16"/>
                <w:szCs w:val="16"/>
              </w:rPr>
              <w:t>Thursday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Jul</w:t>
            </w:r>
          </w:p>
        </w:tc>
        <w:tc>
          <w:tcPr>
            <w:tcW w:w="806" w:type="dxa"/>
          </w:tcPr>
          <w:p w:rsidR="00386FFF" w:rsidRDefault="00386FFF" w:rsidP="00254194">
            <w:pPr>
              <w:pStyle w:val="BodyText"/>
              <w:jc w:val="left"/>
              <w:rPr>
                <w:sz w:val="16"/>
                <w:szCs w:val="16"/>
              </w:rPr>
            </w:pPr>
            <w:r>
              <w:rPr>
                <w:sz w:val="16"/>
                <w:szCs w:val="16"/>
              </w:rPr>
              <w:t>09-11-12</w:t>
            </w:r>
          </w:p>
        </w:tc>
        <w:tc>
          <w:tcPr>
            <w:tcW w:w="1313" w:type="dxa"/>
          </w:tcPr>
          <w:p w:rsidR="00386FFF" w:rsidRDefault="00386FFF" w:rsidP="00254194">
            <w:pPr>
              <w:pStyle w:val="BodyText"/>
              <w:jc w:val="left"/>
              <w:rPr>
                <w:sz w:val="16"/>
                <w:szCs w:val="16"/>
              </w:rPr>
            </w:pPr>
            <w:r>
              <w:rPr>
                <w:sz w:val="16"/>
                <w:szCs w:val="16"/>
              </w:rPr>
              <w:t>Tuesday</w:t>
            </w:r>
          </w:p>
        </w:tc>
      </w:tr>
      <w:tr w:rsidR="00386FFF" w:rsidTr="006A2C38">
        <w:trPr>
          <w:trHeight w:hRule="exact" w:val="271"/>
        </w:trPr>
        <w:tc>
          <w:tcPr>
            <w:tcW w:w="659" w:type="dxa"/>
          </w:tcPr>
          <w:p w:rsidR="00386FFF" w:rsidRDefault="00386FFF" w:rsidP="00254194">
            <w:pPr>
              <w:pStyle w:val="BodyText"/>
              <w:jc w:val="left"/>
              <w:rPr>
                <w:sz w:val="16"/>
                <w:szCs w:val="16"/>
              </w:rPr>
            </w:pPr>
            <w:r>
              <w:rPr>
                <w:sz w:val="16"/>
                <w:szCs w:val="16"/>
              </w:rPr>
              <w:t>Aug</w:t>
            </w:r>
          </w:p>
        </w:tc>
        <w:tc>
          <w:tcPr>
            <w:tcW w:w="806" w:type="dxa"/>
          </w:tcPr>
          <w:p w:rsidR="00386FFF" w:rsidRDefault="00386FFF" w:rsidP="00254194">
            <w:pPr>
              <w:pStyle w:val="BodyText"/>
              <w:jc w:val="left"/>
              <w:rPr>
                <w:sz w:val="16"/>
                <w:szCs w:val="16"/>
              </w:rPr>
            </w:pPr>
            <w:r>
              <w:rPr>
                <w:sz w:val="16"/>
                <w:szCs w:val="16"/>
              </w:rPr>
              <w:t>10-11-12</w:t>
            </w:r>
          </w:p>
        </w:tc>
        <w:tc>
          <w:tcPr>
            <w:tcW w:w="1313" w:type="dxa"/>
          </w:tcPr>
          <w:p w:rsidR="00386FFF" w:rsidRDefault="00386FFF" w:rsidP="00254194">
            <w:pPr>
              <w:pStyle w:val="BodyText"/>
              <w:jc w:val="left"/>
              <w:rPr>
                <w:sz w:val="16"/>
                <w:szCs w:val="16"/>
              </w:rPr>
            </w:pPr>
            <w:r>
              <w:rPr>
                <w:sz w:val="16"/>
                <w:szCs w:val="16"/>
              </w:rPr>
              <w:t>Thursday</w:t>
            </w:r>
          </w:p>
        </w:tc>
      </w:tr>
      <w:tr w:rsidR="00386FFF" w:rsidTr="00386FFF">
        <w:trPr>
          <w:trHeight w:hRule="exact" w:val="271"/>
        </w:trPr>
        <w:tc>
          <w:tcPr>
            <w:tcW w:w="659" w:type="dxa"/>
            <w:vAlign w:val="bottom"/>
          </w:tcPr>
          <w:p w:rsidR="00386FFF" w:rsidRDefault="00386FFF" w:rsidP="00254194">
            <w:pPr>
              <w:pStyle w:val="BodyText"/>
              <w:jc w:val="left"/>
              <w:rPr>
                <w:sz w:val="16"/>
                <w:szCs w:val="16"/>
              </w:rPr>
            </w:pPr>
            <w:r>
              <w:rPr>
                <w:sz w:val="16"/>
                <w:szCs w:val="16"/>
              </w:rPr>
              <w:t>Sep</w:t>
            </w:r>
          </w:p>
        </w:tc>
        <w:tc>
          <w:tcPr>
            <w:tcW w:w="806" w:type="dxa"/>
            <w:vAlign w:val="bottom"/>
          </w:tcPr>
          <w:p w:rsidR="00386FFF" w:rsidRDefault="00386FFF" w:rsidP="00254194">
            <w:pPr>
              <w:pStyle w:val="BodyText"/>
              <w:jc w:val="left"/>
              <w:rPr>
                <w:sz w:val="16"/>
                <w:szCs w:val="16"/>
              </w:rPr>
            </w:pPr>
            <w:r>
              <w:rPr>
                <w:sz w:val="16"/>
                <w:szCs w:val="16"/>
              </w:rPr>
              <w:t>11-08-12</w:t>
            </w:r>
          </w:p>
        </w:tc>
        <w:tc>
          <w:tcPr>
            <w:tcW w:w="1313" w:type="dxa"/>
            <w:vAlign w:val="bottom"/>
          </w:tcPr>
          <w:p w:rsidR="00386FFF" w:rsidRDefault="00386FFF" w:rsidP="00254194">
            <w:pPr>
              <w:pStyle w:val="BodyText"/>
              <w:jc w:val="left"/>
              <w:rPr>
                <w:sz w:val="16"/>
                <w:szCs w:val="16"/>
              </w:rPr>
            </w:pPr>
            <w:r>
              <w:rPr>
                <w:sz w:val="16"/>
                <w:szCs w:val="16"/>
              </w:rPr>
              <w:t>Thursday</w:t>
            </w:r>
          </w:p>
        </w:tc>
      </w:tr>
      <w:tr w:rsidR="00386FFF" w:rsidTr="00386FFF">
        <w:trPr>
          <w:trHeight w:hRule="exact" w:val="271"/>
        </w:trPr>
        <w:tc>
          <w:tcPr>
            <w:tcW w:w="659" w:type="dxa"/>
            <w:vAlign w:val="bottom"/>
          </w:tcPr>
          <w:p w:rsidR="00386FFF" w:rsidRDefault="00386FFF" w:rsidP="00254194">
            <w:pPr>
              <w:pStyle w:val="BodyText"/>
              <w:jc w:val="left"/>
              <w:rPr>
                <w:sz w:val="16"/>
                <w:szCs w:val="16"/>
              </w:rPr>
            </w:pPr>
            <w:r>
              <w:rPr>
                <w:sz w:val="16"/>
                <w:szCs w:val="16"/>
              </w:rPr>
              <w:t>Oct</w:t>
            </w:r>
          </w:p>
        </w:tc>
        <w:tc>
          <w:tcPr>
            <w:tcW w:w="806" w:type="dxa"/>
            <w:vAlign w:val="bottom"/>
          </w:tcPr>
          <w:p w:rsidR="00386FFF" w:rsidRDefault="00386FFF" w:rsidP="00254194">
            <w:pPr>
              <w:pStyle w:val="BodyText"/>
              <w:jc w:val="left"/>
              <w:rPr>
                <w:sz w:val="16"/>
                <w:szCs w:val="16"/>
              </w:rPr>
            </w:pPr>
            <w:r>
              <w:rPr>
                <w:sz w:val="16"/>
                <w:szCs w:val="16"/>
              </w:rPr>
              <w:t>12-11-12</w:t>
            </w:r>
          </w:p>
        </w:tc>
        <w:tc>
          <w:tcPr>
            <w:tcW w:w="1313" w:type="dxa"/>
            <w:vAlign w:val="bottom"/>
          </w:tcPr>
          <w:p w:rsidR="00386FFF" w:rsidRDefault="00386FFF" w:rsidP="00254194">
            <w:pPr>
              <w:pStyle w:val="BodyText"/>
              <w:jc w:val="left"/>
              <w:rPr>
                <w:sz w:val="16"/>
                <w:szCs w:val="16"/>
              </w:rPr>
            </w:pPr>
            <w:r>
              <w:rPr>
                <w:sz w:val="16"/>
                <w:szCs w:val="16"/>
              </w:rPr>
              <w:t>Tuesday</w:t>
            </w:r>
          </w:p>
        </w:tc>
      </w:tr>
      <w:tr w:rsidR="00386FFF" w:rsidTr="003E61A7">
        <w:trPr>
          <w:trHeight w:hRule="exact" w:val="80"/>
        </w:trPr>
        <w:tc>
          <w:tcPr>
            <w:tcW w:w="659" w:type="dxa"/>
            <w:vAlign w:val="bottom"/>
          </w:tcPr>
          <w:p w:rsidR="00386FFF" w:rsidRDefault="00386FFF" w:rsidP="00254194">
            <w:pPr>
              <w:pStyle w:val="BodyText"/>
              <w:rPr>
                <w:sz w:val="16"/>
                <w:szCs w:val="16"/>
              </w:rPr>
            </w:pPr>
          </w:p>
        </w:tc>
        <w:tc>
          <w:tcPr>
            <w:tcW w:w="806" w:type="dxa"/>
            <w:vAlign w:val="bottom"/>
          </w:tcPr>
          <w:p w:rsidR="00386FFF" w:rsidRDefault="00386FFF" w:rsidP="00254194">
            <w:pPr>
              <w:pStyle w:val="BodyText"/>
              <w:rPr>
                <w:sz w:val="16"/>
                <w:szCs w:val="16"/>
              </w:rPr>
            </w:pPr>
          </w:p>
        </w:tc>
        <w:tc>
          <w:tcPr>
            <w:tcW w:w="1313" w:type="dxa"/>
            <w:vAlign w:val="bottom"/>
          </w:tcPr>
          <w:p w:rsidR="00386FFF" w:rsidRDefault="00386FFF" w:rsidP="00254194">
            <w:pPr>
              <w:pStyle w:val="BodyText"/>
              <w:rPr>
                <w:sz w:val="16"/>
                <w:szCs w:val="16"/>
              </w:rPr>
            </w:pPr>
          </w:p>
        </w:tc>
      </w:tr>
      <w:tr w:rsidR="00386FFF" w:rsidTr="006A2C38">
        <w:trPr>
          <w:trHeight w:hRule="exact" w:val="71"/>
        </w:trPr>
        <w:tc>
          <w:tcPr>
            <w:tcW w:w="659" w:type="dxa"/>
            <w:vAlign w:val="bottom"/>
          </w:tcPr>
          <w:p w:rsidR="00386FFF" w:rsidRDefault="00386FFF" w:rsidP="00254194">
            <w:pPr>
              <w:pStyle w:val="BodyText"/>
              <w:rPr>
                <w:sz w:val="16"/>
                <w:szCs w:val="16"/>
              </w:rPr>
            </w:pPr>
          </w:p>
        </w:tc>
        <w:tc>
          <w:tcPr>
            <w:tcW w:w="806" w:type="dxa"/>
            <w:vAlign w:val="bottom"/>
          </w:tcPr>
          <w:p w:rsidR="00386FFF" w:rsidRDefault="00386FFF" w:rsidP="00254194">
            <w:pPr>
              <w:pStyle w:val="BodyText"/>
              <w:rPr>
                <w:sz w:val="16"/>
                <w:szCs w:val="16"/>
              </w:rPr>
            </w:pPr>
          </w:p>
        </w:tc>
        <w:tc>
          <w:tcPr>
            <w:tcW w:w="1313" w:type="dxa"/>
            <w:vAlign w:val="bottom"/>
          </w:tcPr>
          <w:p w:rsidR="00386FFF" w:rsidRDefault="00386FFF" w:rsidP="00254194">
            <w:pPr>
              <w:pStyle w:val="BodyText"/>
              <w:rPr>
                <w:sz w:val="16"/>
                <w:szCs w:val="16"/>
              </w:rPr>
            </w:pPr>
          </w:p>
        </w:tc>
      </w:tr>
    </w:tbl>
    <w:p w:rsidR="00632ED3" w:rsidRDefault="00B8660D" w:rsidP="00142FB9">
      <w:pPr>
        <w:jc w:val="both"/>
        <w:rPr>
          <w:sz w:val="20"/>
        </w:rPr>
      </w:pPr>
      <w:r>
        <w:rPr>
          <w:b/>
          <w:bCs/>
          <w:sz w:val="20"/>
        </w:rPr>
        <w:t>R</w:t>
      </w:r>
      <w:r w:rsidR="00266AA5">
        <w:rPr>
          <w:b/>
          <w:bCs/>
          <w:sz w:val="20"/>
        </w:rPr>
        <w:t xml:space="preserve">evision policy </w:t>
      </w:r>
      <w:r w:rsidR="00CB6892">
        <w:rPr>
          <w:b/>
          <w:bCs/>
          <w:sz w:val="20"/>
        </w:rPr>
        <w:t>for</w:t>
      </w:r>
      <w:r>
        <w:rPr>
          <w:b/>
          <w:bCs/>
          <w:sz w:val="20"/>
        </w:rPr>
        <w:t xml:space="preserve"> goods on a balance of payments basis and</w:t>
      </w:r>
      <w:r w:rsidR="00B676DB">
        <w:rPr>
          <w:b/>
          <w:bCs/>
          <w:sz w:val="20"/>
        </w:rPr>
        <w:t xml:space="preserve"> for </w:t>
      </w:r>
      <w:r>
        <w:rPr>
          <w:b/>
          <w:bCs/>
          <w:sz w:val="20"/>
        </w:rPr>
        <w:t>services:</w:t>
      </w:r>
      <w:r w:rsidR="00266AA5">
        <w:rPr>
          <w:sz w:val="20"/>
        </w:rPr>
        <w:t xml:space="preserve"> Each month, a preliminary estimate for the current month and a revised estimate for the immediately preceding month are released.  After the initial revision, no</w:t>
      </w:r>
      <w:r w:rsidR="00254194">
        <w:rPr>
          <w:sz w:val="20"/>
        </w:rPr>
        <w:br w:type="column"/>
      </w:r>
      <w:r w:rsidR="00266AA5">
        <w:rPr>
          <w:sz w:val="20"/>
        </w:rPr>
        <w:t xml:space="preserve">further </w:t>
      </w:r>
      <w:r w:rsidR="00A70C71">
        <w:rPr>
          <w:sz w:val="20"/>
        </w:rPr>
        <w:t xml:space="preserve">revisions </w:t>
      </w:r>
      <w:r w:rsidR="00266AA5">
        <w:rPr>
          <w:sz w:val="20"/>
        </w:rPr>
        <w:t xml:space="preserve">are made to </w:t>
      </w:r>
      <w:r w:rsidR="00A70C71">
        <w:rPr>
          <w:sz w:val="20"/>
        </w:rPr>
        <w:t xml:space="preserve">a </w:t>
      </w:r>
      <w:r w:rsidR="00266AA5">
        <w:rPr>
          <w:sz w:val="20"/>
        </w:rPr>
        <w:t xml:space="preserve">month until more complete source data become available in March, June, September, and December. </w:t>
      </w:r>
      <w:r w:rsidR="001327D8">
        <w:rPr>
          <w:sz w:val="20"/>
        </w:rPr>
        <w:t xml:space="preserve"> </w:t>
      </w:r>
      <w:r w:rsidR="00266AA5">
        <w:rPr>
          <w:sz w:val="20"/>
        </w:rPr>
        <w:t xml:space="preserve">The releases in March, June, September, and December contain revised estimates for the previous six months. </w:t>
      </w:r>
      <w:r w:rsidR="001327D8">
        <w:rPr>
          <w:sz w:val="20"/>
        </w:rPr>
        <w:t xml:space="preserve"> </w:t>
      </w:r>
      <w:r w:rsidR="00266AA5">
        <w:rPr>
          <w:sz w:val="20"/>
        </w:rPr>
        <w:t xml:space="preserve">The release in March also contains revisions for all months of the previous year in order to align the seasonally adjusted monthly data with annual totals.  The release in June </w:t>
      </w:r>
      <w:r w:rsidR="00723B0E">
        <w:rPr>
          <w:sz w:val="20"/>
        </w:rPr>
        <w:t xml:space="preserve">also </w:t>
      </w:r>
      <w:r w:rsidR="00266AA5">
        <w:rPr>
          <w:sz w:val="20"/>
        </w:rPr>
        <w:t>contains annual revisions, which reflect</w:t>
      </w:r>
      <w:r w:rsidR="00840585">
        <w:rPr>
          <w:sz w:val="20"/>
        </w:rPr>
        <w:t xml:space="preserve"> newly available and revised s</w:t>
      </w:r>
      <w:r w:rsidR="00266AA5">
        <w:rPr>
          <w:sz w:val="20"/>
        </w:rPr>
        <w:t>ource data</w:t>
      </w:r>
      <w:r w:rsidR="009D07CE">
        <w:rPr>
          <w:sz w:val="20"/>
        </w:rPr>
        <w:t>, changes in definition</w:t>
      </w:r>
      <w:r w:rsidR="005068B9">
        <w:rPr>
          <w:sz w:val="20"/>
        </w:rPr>
        <w:t>s and classifications</w:t>
      </w:r>
      <w:r w:rsidR="009D07CE">
        <w:rPr>
          <w:sz w:val="20"/>
        </w:rPr>
        <w:t xml:space="preserve">, </w:t>
      </w:r>
      <w:r w:rsidR="00266AA5">
        <w:rPr>
          <w:sz w:val="20"/>
        </w:rPr>
        <w:t>and changes in estimating methodologies.</w:t>
      </w:r>
    </w:p>
    <w:p w:rsidR="00B23D99" w:rsidRDefault="00B23D99" w:rsidP="00142FB9">
      <w:pPr>
        <w:jc w:val="both"/>
        <w:rPr>
          <w:sz w:val="20"/>
        </w:rPr>
      </w:pPr>
    </w:p>
    <w:p w:rsidR="00B8660D" w:rsidRDefault="00B8660D" w:rsidP="00142FB9">
      <w:pPr>
        <w:spacing w:after="240"/>
        <w:jc w:val="both"/>
        <w:rPr>
          <w:b/>
          <w:sz w:val="21"/>
          <w:szCs w:val="21"/>
          <w:u w:val="single"/>
        </w:rPr>
      </w:pPr>
      <w:r w:rsidRPr="001A1A7D">
        <w:rPr>
          <w:b/>
          <w:sz w:val="21"/>
          <w:szCs w:val="21"/>
          <w:u w:val="single"/>
        </w:rPr>
        <w:t>U.S. INTERNATIONAL TRANSACTIONS</w:t>
      </w:r>
      <w:r w:rsidR="001A1A7D">
        <w:rPr>
          <w:b/>
          <w:sz w:val="21"/>
          <w:szCs w:val="21"/>
          <w:u w:val="single"/>
        </w:rPr>
        <w:t xml:space="preserve"> </w:t>
      </w:r>
      <w:r w:rsidR="00B676DB" w:rsidRPr="001A1A7D">
        <w:rPr>
          <w:b/>
          <w:sz w:val="21"/>
          <w:szCs w:val="21"/>
          <w:u w:val="single"/>
        </w:rPr>
        <w:t>ACCOUNTS</w:t>
      </w:r>
    </w:p>
    <w:p w:rsidR="007B49AC" w:rsidRDefault="00266AA5" w:rsidP="00142FB9">
      <w:pPr>
        <w:jc w:val="both"/>
        <w:rPr>
          <w:sz w:val="20"/>
        </w:rPr>
      </w:pPr>
      <w:r>
        <w:rPr>
          <w:sz w:val="20"/>
        </w:rPr>
        <w:t xml:space="preserve">Quarterly and annual estimates of </w:t>
      </w:r>
      <w:r w:rsidR="00EF7CB0">
        <w:rPr>
          <w:sz w:val="20"/>
        </w:rPr>
        <w:t xml:space="preserve">goods on a balance of payments basis and </w:t>
      </w:r>
      <w:r w:rsidR="00C97746">
        <w:rPr>
          <w:sz w:val="20"/>
        </w:rPr>
        <w:t xml:space="preserve">of </w:t>
      </w:r>
      <w:r>
        <w:rPr>
          <w:sz w:val="20"/>
        </w:rPr>
        <w:t xml:space="preserve">services are included </w:t>
      </w:r>
      <w:r w:rsidR="00F172C3">
        <w:rPr>
          <w:sz w:val="20"/>
        </w:rPr>
        <w:t xml:space="preserve">in the </w:t>
      </w:r>
      <w:r>
        <w:rPr>
          <w:sz w:val="20"/>
        </w:rPr>
        <w:t xml:space="preserve">U.S. international transactions accounts, </w:t>
      </w:r>
      <w:r w:rsidR="00F172C3">
        <w:rPr>
          <w:sz w:val="20"/>
        </w:rPr>
        <w:t xml:space="preserve">which are </w:t>
      </w:r>
      <w:r>
        <w:rPr>
          <w:sz w:val="20"/>
        </w:rPr>
        <w:t xml:space="preserve">published in news releases in March, June, September, and December and in </w:t>
      </w:r>
      <w:r w:rsidR="00F172C3">
        <w:rPr>
          <w:sz w:val="20"/>
        </w:rPr>
        <w:t xml:space="preserve">the </w:t>
      </w:r>
      <w:r w:rsidR="00F172C3" w:rsidRPr="009D3025">
        <w:rPr>
          <w:i/>
          <w:sz w:val="20"/>
        </w:rPr>
        <w:t>Survey of Current Business</w:t>
      </w:r>
      <w:r w:rsidR="00F172C3">
        <w:rPr>
          <w:sz w:val="20"/>
        </w:rPr>
        <w:t xml:space="preserve"> in </w:t>
      </w:r>
      <w:r>
        <w:rPr>
          <w:sz w:val="20"/>
        </w:rPr>
        <w:t>the January, April, July, and October issues</w:t>
      </w:r>
      <w:r w:rsidR="00F172C3">
        <w:rPr>
          <w:sz w:val="20"/>
        </w:rPr>
        <w:t>.</w:t>
      </w:r>
      <w:r>
        <w:rPr>
          <w:sz w:val="20"/>
        </w:rPr>
        <w:t xml:space="preserve">  The next release of the international </w:t>
      </w:r>
      <w:r w:rsidRPr="00082A43">
        <w:rPr>
          <w:sz w:val="20"/>
        </w:rPr>
        <w:t>transactions accounts is scheduled</w:t>
      </w:r>
      <w:r w:rsidR="0023321F" w:rsidRPr="00082A43">
        <w:rPr>
          <w:sz w:val="20"/>
        </w:rPr>
        <w:t xml:space="preserve"> </w:t>
      </w:r>
      <w:r w:rsidRPr="00082A43">
        <w:rPr>
          <w:sz w:val="20"/>
        </w:rPr>
        <w:t>for</w:t>
      </w:r>
      <w:r w:rsidR="00D31D98">
        <w:rPr>
          <w:sz w:val="20"/>
        </w:rPr>
        <w:t xml:space="preserve"> </w:t>
      </w:r>
      <w:r w:rsidR="004B4774">
        <w:rPr>
          <w:sz w:val="20"/>
        </w:rPr>
        <w:t>June</w:t>
      </w:r>
      <w:r w:rsidR="00B7794F" w:rsidRPr="004B4774">
        <w:rPr>
          <w:sz w:val="20"/>
        </w:rPr>
        <w:t xml:space="preserve"> 1</w:t>
      </w:r>
      <w:r w:rsidR="00BB18DF" w:rsidRPr="004B4774">
        <w:rPr>
          <w:sz w:val="20"/>
        </w:rPr>
        <w:t>4</w:t>
      </w:r>
      <w:r w:rsidR="00536ED7" w:rsidRPr="004B4774">
        <w:rPr>
          <w:sz w:val="20"/>
        </w:rPr>
        <w:t>,</w:t>
      </w:r>
      <w:r w:rsidR="00536ED7">
        <w:rPr>
          <w:sz w:val="20"/>
        </w:rPr>
        <w:t xml:space="preserve"> </w:t>
      </w:r>
      <w:r w:rsidR="00082A43" w:rsidRPr="00082A43">
        <w:rPr>
          <w:sz w:val="20"/>
        </w:rPr>
        <w:t>201</w:t>
      </w:r>
      <w:r w:rsidR="00203A1D">
        <w:rPr>
          <w:sz w:val="20"/>
        </w:rPr>
        <w:t>2</w:t>
      </w:r>
      <w:r>
        <w:rPr>
          <w:sz w:val="20"/>
        </w:rPr>
        <w:t xml:space="preserve">.  The </w:t>
      </w:r>
      <w:r w:rsidR="00846B32" w:rsidRPr="00846B32">
        <w:rPr>
          <w:i/>
          <w:sz w:val="20"/>
        </w:rPr>
        <w:t>Survey of Cur</w:t>
      </w:r>
      <w:r w:rsidR="00846B32">
        <w:rPr>
          <w:i/>
          <w:sz w:val="20"/>
        </w:rPr>
        <w:t>r</w:t>
      </w:r>
      <w:r w:rsidR="00846B32" w:rsidRPr="00846B32">
        <w:rPr>
          <w:i/>
          <w:sz w:val="20"/>
        </w:rPr>
        <w:t>ent Business</w:t>
      </w:r>
      <w:r w:rsidR="00846B32">
        <w:rPr>
          <w:sz w:val="20"/>
        </w:rPr>
        <w:t xml:space="preserve"> is </w:t>
      </w:r>
      <w:r>
        <w:rPr>
          <w:sz w:val="20"/>
        </w:rPr>
        <w:t xml:space="preserve">available </w:t>
      </w:r>
      <w:r w:rsidR="0023321F">
        <w:rPr>
          <w:sz w:val="20"/>
        </w:rPr>
        <w:t xml:space="preserve">online at </w:t>
      </w:r>
      <w:hyperlink r:id="rId13" w:history="1">
        <w:r w:rsidR="0023321F" w:rsidRPr="005E0CE7">
          <w:rPr>
            <w:rStyle w:val="Hyperlink"/>
            <w:sz w:val="20"/>
          </w:rPr>
          <w:t>www.bea.gov/scb/index.htm</w:t>
        </w:r>
      </w:hyperlink>
      <w:r w:rsidR="0023321F">
        <w:rPr>
          <w:sz w:val="20"/>
        </w:rPr>
        <w:t xml:space="preserve"> or from </w:t>
      </w:r>
      <w:r>
        <w:rPr>
          <w:sz w:val="20"/>
        </w:rPr>
        <w:t>the Superintendent of Documents, U.S. Government</w:t>
      </w:r>
      <w:r w:rsidR="00CB00CB">
        <w:rPr>
          <w:sz w:val="20"/>
        </w:rPr>
        <w:t xml:space="preserve"> </w:t>
      </w:r>
      <w:r>
        <w:rPr>
          <w:sz w:val="20"/>
        </w:rPr>
        <w:t>Pr</w:t>
      </w:r>
      <w:r w:rsidR="00267260">
        <w:rPr>
          <w:sz w:val="20"/>
        </w:rPr>
        <w:t>inting</w:t>
      </w:r>
      <w:r w:rsidR="00F173A8">
        <w:rPr>
          <w:sz w:val="20"/>
        </w:rPr>
        <w:t xml:space="preserve"> </w:t>
      </w:r>
      <w:r w:rsidR="00CB00CB">
        <w:rPr>
          <w:sz w:val="20"/>
        </w:rPr>
        <w:t>Office, Washington, D.C. 20402</w:t>
      </w:r>
      <w:r>
        <w:rPr>
          <w:sz w:val="20"/>
        </w:rPr>
        <w:t>.</w:t>
      </w:r>
    </w:p>
    <w:p w:rsidR="000A3073" w:rsidRDefault="000A3073" w:rsidP="00142FB9">
      <w:pPr>
        <w:jc w:val="both"/>
        <w:rPr>
          <w:b/>
          <w:sz w:val="20"/>
        </w:rPr>
      </w:pPr>
    </w:p>
    <w:p w:rsidR="00723B0E" w:rsidRPr="006D501D" w:rsidRDefault="001756FF" w:rsidP="00142FB9">
      <w:pPr>
        <w:jc w:val="both"/>
        <w:rPr>
          <w:b/>
          <w:sz w:val="20"/>
          <w:u w:val="single"/>
        </w:rPr>
      </w:pPr>
      <w:r w:rsidRPr="006D501D">
        <w:rPr>
          <w:b/>
          <w:sz w:val="20"/>
          <w:u w:val="single"/>
        </w:rPr>
        <w:t xml:space="preserve">DATA </w:t>
      </w:r>
      <w:r w:rsidR="00723B0E" w:rsidRPr="006D501D">
        <w:rPr>
          <w:b/>
          <w:sz w:val="20"/>
          <w:u w:val="single"/>
        </w:rPr>
        <w:t>AVAILABILITY</w:t>
      </w:r>
    </w:p>
    <w:p w:rsidR="000C2C7A" w:rsidRDefault="000C2C7A" w:rsidP="00142FB9">
      <w:pPr>
        <w:jc w:val="both"/>
        <w:rPr>
          <w:sz w:val="20"/>
        </w:rPr>
      </w:pPr>
    </w:p>
    <w:p w:rsidR="00266AA5" w:rsidRDefault="00266AA5" w:rsidP="00142FB9">
      <w:pPr>
        <w:jc w:val="both"/>
        <w:rPr>
          <w:sz w:val="20"/>
        </w:rPr>
      </w:pPr>
      <w:r>
        <w:rPr>
          <w:sz w:val="20"/>
        </w:rPr>
        <w:t xml:space="preserve">The </w:t>
      </w:r>
      <w:r w:rsidR="007B6F31">
        <w:rPr>
          <w:sz w:val="20"/>
        </w:rPr>
        <w:t>U.S. International Trade in Goods and Services news release (</w:t>
      </w:r>
      <w:r>
        <w:rPr>
          <w:sz w:val="20"/>
        </w:rPr>
        <w:t>FT-900</w:t>
      </w:r>
      <w:r w:rsidR="007B6F31">
        <w:rPr>
          <w:sz w:val="20"/>
        </w:rPr>
        <w:t>)</w:t>
      </w:r>
      <w:r>
        <w:rPr>
          <w:sz w:val="20"/>
        </w:rPr>
        <w:t xml:space="preserve"> and </w:t>
      </w:r>
      <w:r w:rsidR="007B6F31">
        <w:rPr>
          <w:sz w:val="20"/>
        </w:rPr>
        <w:t xml:space="preserve">the FT-900 Supplement </w:t>
      </w:r>
      <w:r>
        <w:rPr>
          <w:sz w:val="20"/>
        </w:rPr>
        <w:t xml:space="preserve">are available </w:t>
      </w:r>
      <w:r w:rsidR="007B6F31">
        <w:rPr>
          <w:sz w:val="20"/>
        </w:rPr>
        <w:t xml:space="preserve">at </w:t>
      </w:r>
      <w:r>
        <w:rPr>
          <w:sz w:val="20"/>
        </w:rPr>
        <w:t>the following:</w:t>
      </w:r>
    </w:p>
    <w:p w:rsidR="00266AA5" w:rsidRDefault="00266AA5" w:rsidP="00142FB9">
      <w:pPr>
        <w:jc w:val="both"/>
        <w:rPr>
          <w:sz w:val="20"/>
        </w:rPr>
      </w:pPr>
    </w:p>
    <w:p w:rsidR="001756FF" w:rsidRDefault="00EC5D95" w:rsidP="006D501D">
      <w:pPr>
        <w:rPr>
          <w:sz w:val="20"/>
          <w:szCs w:val="20"/>
        </w:rPr>
      </w:pPr>
      <w:hyperlink r:id="rId14" w:history="1">
        <w:r w:rsidR="00776479" w:rsidRPr="00776479">
          <w:rPr>
            <w:rStyle w:val="Hyperlink"/>
            <w:sz w:val="20"/>
            <w:szCs w:val="20"/>
          </w:rPr>
          <w:t>www.census.gov/ft900</w:t>
        </w:r>
      </w:hyperlink>
      <w:r w:rsidR="001756FF">
        <w:rPr>
          <w:sz w:val="20"/>
          <w:szCs w:val="20"/>
        </w:rPr>
        <w:t xml:space="preserve"> </w:t>
      </w:r>
      <w:r w:rsidR="00FB38B1">
        <w:rPr>
          <w:sz w:val="20"/>
          <w:szCs w:val="20"/>
        </w:rPr>
        <w:t xml:space="preserve"> </w:t>
      </w:r>
    </w:p>
    <w:p w:rsidR="001756FF" w:rsidRDefault="001756FF" w:rsidP="006D501D">
      <w:pPr>
        <w:rPr>
          <w:sz w:val="20"/>
          <w:szCs w:val="20"/>
        </w:rPr>
      </w:pPr>
    </w:p>
    <w:p w:rsidR="00FB38B1" w:rsidRDefault="00EC5D95" w:rsidP="006D501D">
      <w:pPr>
        <w:rPr>
          <w:sz w:val="20"/>
          <w:szCs w:val="20"/>
        </w:rPr>
      </w:pPr>
      <w:hyperlink r:id="rId15" w:history="1">
        <w:r w:rsidR="00FB38B1" w:rsidRPr="00FB38B1">
          <w:rPr>
            <w:rStyle w:val="Hyperlink"/>
            <w:sz w:val="20"/>
            <w:szCs w:val="20"/>
          </w:rPr>
          <w:t>www.bea.gov/newsreleases/international/trade/tradnewsrelease.htm</w:t>
        </w:r>
      </w:hyperlink>
    </w:p>
    <w:p w:rsidR="00266AA5" w:rsidRDefault="00266AA5">
      <w:pPr>
        <w:jc w:val="both"/>
        <w:rPr>
          <w:sz w:val="20"/>
        </w:rPr>
      </w:pPr>
    </w:p>
    <w:p w:rsidR="00266AA5" w:rsidRDefault="00266AA5">
      <w:pPr>
        <w:pStyle w:val="BodyText3"/>
        <w:jc w:val="both"/>
      </w:pPr>
      <w:r>
        <w:t xml:space="preserve">Additional data and information on goods </w:t>
      </w:r>
      <w:r w:rsidR="00783054">
        <w:t>can be obtained</w:t>
      </w:r>
      <w:r>
        <w:t xml:space="preserve"> from: </w:t>
      </w:r>
      <w:r>
        <w:rPr>
          <w:b/>
          <w:bCs/>
        </w:rPr>
        <w:t>Foreign Trade Division, U.S. Census Bureau, Washington, D.C.  20233</w:t>
      </w:r>
    </w:p>
    <w:p w:rsidR="00266AA5" w:rsidRDefault="00266AA5">
      <w:pPr>
        <w:jc w:val="both"/>
        <w:rPr>
          <w:sz w:val="20"/>
        </w:rPr>
      </w:pPr>
    </w:p>
    <w:p w:rsidR="00266AA5" w:rsidRDefault="00266AA5">
      <w:pPr>
        <w:pStyle w:val="BodyText"/>
        <w:rPr>
          <w:b/>
          <w:bCs/>
        </w:rPr>
      </w:pPr>
      <w:r>
        <w:t xml:space="preserve">Additional data and information on services </w:t>
      </w:r>
      <w:r w:rsidR="00783054">
        <w:t>can be obtained</w:t>
      </w:r>
      <w:r>
        <w:t xml:space="preserve"> from: </w:t>
      </w:r>
      <w:r>
        <w:rPr>
          <w:b/>
          <w:bCs/>
        </w:rPr>
        <w:t xml:space="preserve">Balance of Payments Division, </w:t>
      </w:r>
      <w:smartTag w:uri="urn:schemas-microsoft-com:office:smarttags" w:element="country-region">
        <w:r>
          <w:rPr>
            <w:b/>
            <w:bCs/>
          </w:rPr>
          <w:t>U.S.</w:t>
        </w:r>
      </w:smartTag>
      <w:r>
        <w:rPr>
          <w:b/>
          <w:bCs/>
        </w:rPr>
        <w:t xml:space="preserve"> Bureau</w:t>
      </w:r>
      <w:r>
        <w:t xml:space="preserve"> </w:t>
      </w:r>
      <w:r>
        <w:rPr>
          <w:b/>
          <w:bCs/>
        </w:rPr>
        <w:t>of</w:t>
      </w:r>
      <w:r>
        <w:t xml:space="preserve"> </w:t>
      </w:r>
      <w:r>
        <w:rPr>
          <w:b/>
          <w:bCs/>
        </w:rPr>
        <w:t xml:space="preserve">Economic Analysis, </w:t>
      </w:r>
      <w:smartTag w:uri="urn:schemas-microsoft-com:office:smarttags" w:element="place">
        <w:r>
          <w:rPr>
            <w:b/>
            <w:bCs/>
          </w:rPr>
          <w:t xml:space="preserve">Washington, </w:t>
        </w:r>
        <w:smartTag w:uri="urn:schemas-microsoft-com:office:smarttags" w:element="State">
          <w:r>
            <w:rPr>
              <w:b/>
              <w:bCs/>
            </w:rPr>
            <w:t>D.C.</w:t>
          </w:r>
        </w:smartTag>
      </w:smartTag>
      <w:r>
        <w:rPr>
          <w:b/>
          <w:bCs/>
        </w:rPr>
        <w:t xml:space="preserve">  20230</w:t>
      </w:r>
    </w:p>
    <w:sectPr w:rsidR="00266AA5" w:rsidSect="00572564">
      <w:headerReference w:type="even" r:id="rId16"/>
      <w:headerReference w:type="default" r:id="rId17"/>
      <w:type w:val="continuous"/>
      <w:pgSz w:w="12240" w:h="15840" w:code="1"/>
      <w:pgMar w:top="720" w:right="720" w:bottom="720" w:left="720" w:header="432" w:footer="720" w:gutter="0"/>
      <w:cols w:num="2" w:space="43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585" w:rsidRDefault="00840585">
      <w:r>
        <w:separator/>
      </w:r>
    </w:p>
  </w:endnote>
  <w:endnote w:type="continuationSeparator" w:id="0">
    <w:p w:rsidR="00840585" w:rsidRDefault="00840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585" w:rsidRDefault="00840585">
      <w:r>
        <w:separator/>
      </w:r>
    </w:p>
  </w:footnote>
  <w:footnote w:type="continuationSeparator" w:id="0">
    <w:p w:rsidR="00840585" w:rsidRDefault="00840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85" w:rsidRDefault="00840585">
    <w:pPr>
      <w:pStyle w:val="Header"/>
      <w:framePr w:wrap="around"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rsidR="00840585" w:rsidRDefault="00840585">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85" w:rsidRDefault="00840585">
    <w:pPr>
      <w:pStyle w:val="Header"/>
      <w:framePr w:wrap="around" w:vAnchor="text" w:hAnchor="margin" w:xAlign="outside" w:y="1"/>
      <w:rPr>
        <w:rStyle w:val="PageNumber"/>
      </w:rPr>
    </w:pPr>
  </w:p>
  <w:p w:rsidR="00840585" w:rsidRDefault="00840585">
    <w:pPr>
      <w:pStyle w:val="Header"/>
      <w:jc w:val="right"/>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EC5D95">
      <w:rPr>
        <w:rStyle w:val="PageNumber"/>
        <w:noProof/>
      </w:rPr>
      <w:t>1</w:t>
    </w:r>
    <w:r>
      <w:rPr>
        <w:rStyle w:val="PageNumber"/>
      </w:rPr>
      <w:fldChar w:fldCharType="end"/>
    </w:r>
    <w:r>
      <w:rPr>
        <w:rStyle w:val="PageNumbe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85" w:rsidRDefault="00840585">
    <w:pPr>
      <w:pStyle w:val="Header"/>
      <w:ind w:right="360"/>
    </w:pPr>
    <w:r>
      <w:t>A-</w:t>
    </w:r>
    <w:r>
      <w:rPr>
        <w:rStyle w:val="PageNumber"/>
      </w:rPr>
      <w:fldChar w:fldCharType="begin"/>
    </w:r>
    <w:r>
      <w:rPr>
        <w:rStyle w:val="PageNumber"/>
      </w:rPr>
      <w:instrText xml:space="preserve"> PAGE </w:instrText>
    </w:r>
    <w:r>
      <w:rPr>
        <w:rStyle w:val="PageNumber"/>
      </w:rPr>
      <w:fldChar w:fldCharType="separate"/>
    </w:r>
    <w:r w:rsidR="00EC5D95">
      <w:rPr>
        <w:rStyle w:val="PageNumber"/>
        <w:noProof/>
      </w:rPr>
      <w:t>4</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585" w:rsidRDefault="00840585">
    <w:pPr>
      <w:pStyle w:val="Header"/>
      <w:jc w:val="right"/>
    </w:pPr>
    <w:r>
      <w:t>A-</w:t>
    </w:r>
    <w:r>
      <w:rPr>
        <w:rStyle w:val="PageNumber"/>
      </w:rPr>
      <w:fldChar w:fldCharType="begin"/>
    </w:r>
    <w:r>
      <w:rPr>
        <w:rStyle w:val="PageNumber"/>
      </w:rPr>
      <w:instrText xml:space="preserve"> PAGE </w:instrText>
    </w:r>
    <w:r>
      <w:rPr>
        <w:rStyle w:val="PageNumber"/>
      </w:rPr>
      <w:fldChar w:fldCharType="separate"/>
    </w:r>
    <w:r w:rsidR="00EC5D95">
      <w:rPr>
        <w:rStyle w:val="PageNumber"/>
        <w:noProof/>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47E91"/>
    <w:multiLevelType w:val="hybridMultilevel"/>
    <w:tmpl w:val="A748E8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3CB78D4"/>
    <w:multiLevelType w:val="hybridMultilevel"/>
    <w:tmpl w:val="782CC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4B920F4"/>
    <w:multiLevelType w:val="hybridMultilevel"/>
    <w:tmpl w:val="B4AA63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754B9A"/>
    <w:multiLevelType w:val="hybridMultilevel"/>
    <w:tmpl w:val="26EA62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activeWritingStyle w:appName="MSWord" w:lang="en-CA" w:vendorID="64" w:dllVersion="131077" w:nlCheck="1" w:checkStyle="1"/>
  <w:activeWritingStyle w:appName="MSWord" w:lang="en-US" w:vendorID="64" w:dllVersion="131077" w:nlCheck="1" w:checkStyle="1"/>
  <w:activeWritingStyle w:appName="MSWord" w:lang="en-US" w:vendorID="64" w:dllVersion="131078" w:nlCheck="1" w:checkStyle="1"/>
  <w:proofState w:spelling="clean" w:grammar="clean"/>
  <w:defaultTabStop w:val="720"/>
  <w:evenAndOddHeaders/>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7C48CA"/>
    <w:rsid w:val="00001750"/>
    <w:rsid w:val="00002220"/>
    <w:rsid w:val="00003434"/>
    <w:rsid w:val="00007785"/>
    <w:rsid w:val="00013E14"/>
    <w:rsid w:val="0001583E"/>
    <w:rsid w:val="00022B7C"/>
    <w:rsid w:val="000269FC"/>
    <w:rsid w:val="00037CAD"/>
    <w:rsid w:val="00041EA3"/>
    <w:rsid w:val="00050C6F"/>
    <w:rsid w:val="00054F33"/>
    <w:rsid w:val="00066030"/>
    <w:rsid w:val="00067C4F"/>
    <w:rsid w:val="00071C1A"/>
    <w:rsid w:val="00072B81"/>
    <w:rsid w:val="00081A1F"/>
    <w:rsid w:val="000824CB"/>
    <w:rsid w:val="00082A43"/>
    <w:rsid w:val="00085824"/>
    <w:rsid w:val="00091F55"/>
    <w:rsid w:val="00096DA2"/>
    <w:rsid w:val="00096DC0"/>
    <w:rsid w:val="000A24D9"/>
    <w:rsid w:val="000A3073"/>
    <w:rsid w:val="000B646E"/>
    <w:rsid w:val="000B765E"/>
    <w:rsid w:val="000C02D5"/>
    <w:rsid w:val="000C168D"/>
    <w:rsid w:val="000C2C7A"/>
    <w:rsid w:val="000C2F90"/>
    <w:rsid w:val="000C33CD"/>
    <w:rsid w:val="000C3CD6"/>
    <w:rsid w:val="000D20BD"/>
    <w:rsid w:val="000D50E5"/>
    <w:rsid w:val="000E17FE"/>
    <w:rsid w:val="000E294F"/>
    <w:rsid w:val="000E3AC4"/>
    <w:rsid w:val="000E4E6B"/>
    <w:rsid w:val="000E568A"/>
    <w:rsid w:val="000E6744"/>
    <w:rsid w:val="000E6CEC"/>
    <w:rsid w:val="000F0CA1"/>
    <w:rsid w:val="001009C3"/>
    <w:rsid w:val="00100B39"/>
    <w:rsid w:val="00102B18"/>
    <w:rsid w:val="00102E7D"/>
    <w:rsid w:val="001048D9"/>
    <w:rsid w:val="00120434"/>
    <w:rsid w:val="001327D8"/>
    <w:rsid w:val="001339EC"/>
    <w:rsid w:val="00133B1D"/>
    <w:rsid w:val="00136F59"/>
    <w:rsid w:val="0013705D"/>
    <w:rsid w:val="00137FEC"/>
    <w:rsid w:val="00142FB9"/>
    <w:rsid w:val="0014380C"/>
    <w:rsid w:val="00150B21"/>
    <w:rsid w:val="00154C9A"/>
    <w:rsid w:val="001619F5"/>
    <w:rsid w:val="001714F7"/>
    <w:rsid w:val="0017312B"/>
    <w:rsid w:val="001756FF"/>
    <w:rsid w:val="0018077C"/>
    <w:rsid w:val="00184F7C"/>
    <w:rsid w:val="001961E2"/>
    <w:rsid w:val="00196258"/>
    <w:rsid w:val="001A0F33"/>
    <w:rsid w:val="001A1A7D"/>
    <w:rsid w:val="001A4BC2"/>
    <w:rsid w:val="001A4E61"/>
    <w:rsid w:val="001B04A3"/>
    <w:rsid w:val="001B4A67"/>
    <w:rsid w:val="001B5FC0"/>
    <w:rsid w:val="001B6681"/>
    <w:rsid w:val="001D34CE"/>
    <w:rsid w:val="001D3705"/>
    <w:rsid w:val="001D3EE5"/>
    <w:rsid w:val="001D7B98"/>
    <w:rsid w:val="001F255E"/>
    <w:rsid w:val="002023E6"/>
    <w:rsid w:val="00203A1D"/>
    <w:rsid w:val="002065C9"/>
    <w:rsid w:val="00210EB6"/>
    <w:rsid w:val="002144B7"/>
    <w:rsid w:val="00217887"/>
    <w:rsid w:val="002239DB"/>
    <w:rsid w:val="002243E8"/>
    <w:rsid w:val="00227F07"/>
    <w:rsid w:val="0023157B"/>
    <w:rsid w:val="00232F23"/>
    <w:rsid w:val="0023321F"/>
    <w:rsid w:val="0023778B"/>
    <w:rsid w:val="00247095"/>
    <w:rsid w:val="00254194"/>
    <w:rsid w:val="00255819"/>
    <w:rsid w:val="00257AD3"/>
    <w:rsid w:val="0026662C"/>
    <w:rsid w:val="00266AA5"/>
    <w:rsid w:val="00267260"/>
    <w:rsid w:val="0027095E"/>
    <w:rsid w:val="002806A8"/>
    <w:rsid w:val="00290C95"/>
    <w:rsid w:val="002A1471"/>
    <w:rsid w:val="002A4060"/>
    <w:rsid w:val="002A7517"/>
    <w:rsid w:val="002B7F63"/>
    <w:rsid w:val="002D17D1"/>
    <w:rsid w:val="002D4136"/>
    <w:rsid w:val="002F40CB"/>
    <w:rsid w:val="00303E54"/>
    <w:rsid w:val="00313D30"/>
    <w:rsid w:val="00314A6E"/>
    <w:rsid w:val="00316931"/>
    <w:rsid w:val="0032002D"/>
    <w:rsid w:val="0032319D"/>
    <w:rsid w:val="00330EE1"/>
    <w:rsid w:val="00333BD4"/>
    <w:rsid w:val="003341EA"/>
    <w:rsid w:val="0033561A"/>
    <w:rsid w:val="003432FB"/>
    <w:rsid w:val="003451D1"/>
    <w:rsid w:val="003578AE"/>
    <w:rsid w:val="00357E47"/>
    <w:rsid w:val="00370771"/>
    <w:rsid w:val="00383051"/>
    <w:rsid w:val="003850F2"/>
    <w:rsid w:val="00386FFF"/>
    <w:rsid w:val="00392730"/>
    <w:rsid w:val="00396C24"/>
    <w:rsid w:val="003A232A"/>
    <w:rsid w:val="003A26C2"/>
    <w:rsid w:val="003A3A99"/>
    <w:rsid w:val="003A4E87"/>
    <w:rsid w:val="003B0759"/>
    <w:rsid w:val="003B65A2"/>
    <w:rsid w:val="003B766B"/>
    <w:rsid w:val="003D0CD5"/>
    <w:rsid w:val="003D3471"/>
    <w:rsid w:val="003D49FC"/>
    <w:rsid w:val="003D671C"/>
    <w:rsid w:val="003E2577"/>
    <w:rsid w:val="003E2949"/>
    <w:rsid w:val="003E3D91"/>
    <w:rsid w:val="003E5E90"/>
    <w:rsid w:val="003E61A7"/>
    <w:rsid w:val="003F1718"/>
    <w:rsid w:val="003F7FCE"/>
    <w:rsid w:val="00404D9E"/>
    <w:rsid w:val="00407512"/>
    <w:rsid w:val="00412220"/>
    <w:rsid w:val="00417431"/>
    <w:rsid w:val="00423C9B"/>
    <w:rsid w:val="004248BC"/>
    <w:rsid w:val="00425829"/>
    <w:rsid w:val="0042668B"/>
    <w:rsid w:val="00427E23"/>
    <w:rsid w:val="0043164F"/>
    <w:rsid w:val="00432388"/>
    <w:rsid w:val="004325AC"/>
    <w:rsid w:val="00433DC8"/>
    <w:rsid w:val="00435E3D"/>
    <w:rsid w:val="00436AED"/>
    <w:rsid w:val="004405AF"/>
    <w:rsid w:val="00454BAB"/>
    <w:rsid w:val="00473ABE"/>
    <w:rsid w:val="004772B0"/>
    <w:rsid w:val="00481B4E"/>
    <w:rsid w:val="00482FBA"/>
    <w:rsid w:val="00490DF3"/>
    <w:rsid w:val="00494A6B"/>
    <w:rsid w:val="004B2B38"/>
    <w:rsid w:val="004B4774"/>
    <w:rsid w:val="004D3FD4"/>
    <w:rsid w:val="004D6677"/>
    <w:rsid w:val="004F31FC"/>
    <w:rsid w:val="004F71CE"/>
    <w:rsid w:val="004F7EC6"/>
    <w:rsid w:val="005068B9"/>
    <w:rsid w:val="00507D8A"/>
    <w:rsid w:val="00513BB7"/>
    <w:rsid w:val="00516F32"/>
    <w:rsid w:val="00521C75"/>
    <w:rsid w:val="005267C3"/>
    <w:rsid w:val="0052735F"/>
    <w:rsid w:val="00535500"/>
    <w:rsid w:val="00536ED7"/>
    <w:rsid w:val="005424DA"/>
    <w:rsid w:val="00544683"/>
    <w:rsid w:val="00551E18"/>
    <w:rsid w:val="005603E5"/>
    <w:rsid w:val="00561852"/>
    <w:rsid w:val="00562A04"/>
    <w:rsid w:val="005633FE"/>
    <w:rsid w:val="00563E4A"/>
    <w:rsid w:val="00565CC0"/>
    <w:rsid w:val="00572564"/>
    <w:rsid w:val="00574926"/>
    <w:rsid w:val="00585C84"/>
    <w:rsid w:val="0059063B"/>
    <w:rsid w:val="00592403"/>
    <w:rsid w:val="005B0AD0"/>
    <w:rsid w:val="005B5581"/>
    <w:rsid w:val="005B5BEA"/>
    <w:rsid w:val="005B6DC8"/>
    <w:rsid w:val="005C0E0B"/>
    <w:rsid w:val="005C278C"/>
    <w:rsid w:val="005C2B29"/>
    <w:rsid w:val="005C43FB"/>
    <w:rsid w:val="005D6E90"/>
    <w:rsid w:val="005E5B5D"/>
    <w:rsid w:val="005E5B95"/>
    <w:rsid w:val="005E6319"/>
    <w:rsid w:val="005F03C2"/>
    <w:rsid w:val="005F34F2"/>
    <w:rsid w:val="005F79E2"/>
    <w:rsid w:val="00600852"/>
    <w:rsid w:val="00600E57"/>
    <w:rsid w:val="006023FD"/>
    <w:rsid w:val="00602B4B"/>
    <w:rsid w:val="00612FB7"/>
    <w:rsid w:val="00622A83"/>
    <w:rsid w:val="006258D7"/>
    <w:rsid w:val="00625EFA"/>
    <w:rsid w:val="00630C16"/>
    <w:rsid w:val="0063231A"/>
    <w:rsid w:val="00632ED3"/>
    <w:rsid w:val="00634052"/>
    <w:rsid w:val="00642EB3"/>
    <w:rsid w:val="0064459E"/>
    <w:rsid w:val="0064657D"/>
    <w:rsid w:val="0065094C"/>
    <w:rsid w:val="0065174D"/>
    <w:rsid w:val="0065694C"/>
    <w:rsid w:val="00657B58"/>
    <w:rsid w:val="0066305D"/>
    <w:rsid w:val="006642FD"/>
    <w:rsid w:val="00681419"/>
    <w:rsid w:val="00693A62"/>
    <w:rsid w:val="00694356"/>
    <w:rsid w:val="0069515F"/>
    <w:rsid w:val="00695493"/>
    <w:rsid w:val="00696D2C"/>
    <w:rsid w:val="006A1D19"/>
    <w:rsid w:val="006A2C38"/>
    <w:rsid w:val="006A2E42"/>
    <w:rsid w:val="006B19E9"/>
    <w:rsid w:val="006B30AE"/>
    <w:rsid w:val="006B4C96"/>
    <w:rsid w:val="006B55E6"/>
    <w:rsid w:val="006C0AA7"/>
    <w:rsid w:val="006C42D6"/>
    <w:rsid w:val="006D08F3"/>
    <w:rsid w:val="006D501D"/>
    <w:rsid w:val="006D53A7"/>
    <w:rsid w:val="006D7F26"/>
    <w:rsid w:val="006E07AD"/>
    <w:rsid w:val="006E4862"/>
    <w:rsid w:val="006E6EFE"/>
    <w:rsid w:val="006F224B"/>
    <w:rsid w:val="006F321B"/>
    <w:rsid w:val="006F3AF7"/>
    <w:rsid w:val="00722E6E"/>
    <w:rsid w:val="00723B0E"/>
    <w:rsid w:val="00725000"/>
    <w:rsid w:val="00726D93"/>
    <w:rsid w:val="0073275C"/>
    <w:rsid w:val="00732FE0"/>
    <w:rsid w:val="00740BB1"/>
    <w:rsid w:val="0074167D"/>
    <w:rsid w:val="0074220B"/>
    <w:rsid w:val="00745F7A"/>
    <w:rsid w:val="00751F6F"/>
    <w:rsid w:val="00753078"/>
    <w:rsid w:val="00753887"/>
    <w:rsid w:val="0075413F"/>
    <w:rsid w:val="007573C4"/>
    <w:rsid w:val="00761D58"/>
    <w:rsid w:val="00776479"/>
    <w:rsid w:val="00777917"/>
    <w:rsid w:val="00782F1A"/>
    <w:rsid w:val="00783054"/>
    <w:rsid w:val="0078352A"/>
    <w:rsid w:val="007A1994"/>
    <w:rsid w:val="007A4518"/>
    <w:rsid w:val="007A45D2"/>
    <w:rsid w:val="007A46CB"/>
    <w:rsid w:val="007A7209"/>
    <w:rsid w:val="007B49AC"/>
    <w:rsid w:val="007B5B34"/>
    <w:rsid w:val="007B68BB"/>
    <w:rsid w:val="007B6F31"/>
    <w:rsid w:val="007C33C2"/>
    <w:rsid w:val="007C48CA"/>
    <w:rsid w:val="007C635F"/>
    <w:rsid w:val="007C7BE8"/>
    <w:rsid w:val="007D3A57"/>
    <w:rsid w:val="007D5F01"/>
    <w:rsid w:val="007F316B"/>
    <w:rsid w:val="007F40D4"/>
    <w:rsid w:val="00803535"/>
    <w:rsid w:val="0080677D"/>
    <w:rsid w:val="008115AD"/>
    <w:rsid w:val="00814590"/>
    <w:rsid w:val="00821929"/>
    <w:rsid w:val="0083022F"/>
    <w:rsid w:val="00835AE4"/>
    <w:rsid w:val="00840585"/>
    <w:rsid w:val="0084129B"/>
    <w:rsid w:val="00845747"/>
    <w:rsid w:val="00846656"/>
    <w:rsid w:val="00846B32"/>
    <w:rsid w:val="008531DC"/>
    <w:rsid w:val="008631B9"/>
    <w:rsid w:val="0087020C"/>
    <w:rsid w:val="00871F1C"/>
    <w:rsid w:val="00875BAE"/>
    <w:rsid w:val="00883C5B"/>
    <w:rsid w:val="008868A5"/>
    <w:rsid w:val="00891123"/>
    <w:rsid w:val="00891282"/>
    <w:rsid w:val="00892483"/>
    <w:rsid w:val="0089755B"/>
    <w:rsid w:val="008B4730"/>
    <w:rsid w:val="008B64E6"/>
    <w:rsid w:val="008C4962"/>
    <w:rsid w:val="008D292D"/>
    <w:rsid w:val="008D440D"/>
    <w:rsid w:val="008E3827"/>
    <w:rsid w:val="008E488B"/>
    <w:rsid w:val="008F491B"/>
    <w:rsid w:val="00917BD5"/>
    <w:rsid w:val="00922CCB"/>
    <w:rsid w:val="0094143B"/>
    <w:rsid w:val="00942A64"/>
    <w:rsid w:val="00945617"/>
    <w:rsid w:val="00951692"/>
    <w:rsid w:val="0095357A"/>
    <w:rsid w:val="00963AED"/>
    <w:rsid w:val="00964497"/>
    <w:rsid w:val="0099051C"/>
    <w:rsid w:val="009916B7"/>
    <w:rsid w:val="00994497"/>
    <w:rsid w:val="009A2C42"/>
    <w:rsid w:val="009B3276"/>
    <w:rsid w:val="009B69C7"/>
    <w:rsid w:val="009C0645"/>
    <w:rsid w:val="009C3881"/>
    <w:rsid w:val="009D07CE"/>
    <w:rsid w:val="009D1039"/>
    <w:rsid w:val="009D13D9"/>
    <w:rsid w:val="009D3025"/>
    <w:rsid w:val="009E032B"/>
    <w:rsid w:val="009E08E5"/>
    <w:rsid w:val="009E6D3B"/>
    <w:rsid w:val="009F0F19"/>
    <w:rsid w:val="00A00257"/>
    <w:rsid w:val="00A0337E"/>
    <w:rsid w:val="00A1009D"/>
    <w:rsid w:val="00A10C57"/>
    <w:rsid w:val="00A112C3"/>
    <w:rsid w:val="00A14252"/>
    <w:rsid w:val="00A20563"/>
    <w:rsid w:val="00A20CE0"/>
    <w:rsid w:val="00A21300"/>
    <w:rsid w:val="00A239B3"/>
    <w:rsid w:val="00A23C4B"/>
    <w:rsid w:val="00A25259"/>
    <w:rsid w:val="00A33231"/>
    <w:rsid w:val="00A33279"/>
    <w:rsid w:val="00A41F6C"/>
    <w:rsid w:val="00A448DD"/>
    <w:rsid w:val="00A50315"/>
    <w:rsid w:val="00A525DB"/>
    <w:rsid w:val="00A62C96"/>
    <w:rsid w:val="00A6343D"/>
    <w:rsid w:val="00A6470E"/>
    <w:rsid w:val="00A65BC1"/>
    <w:rsid w:val="00A70C71"/>
    <w:rsid w:val="00A71BEB"/>
    <w:rsid w:val="00A83EC7"/>
    <w:rsid w:val="00A83EE1"/>
    <w:rsid w:val="00A84696"/>
    <w:rsid w:val="00A84D4F"/>
    <w:rsid w:val="00A85774"/>
    <w:rsid w:val="00A866C4"/>
    <w:rsid w:val="00A912DF"/>
    <w:rsid w:val="00A9180E"/>
    <w:rsid w:val="00A94F79"/>
    <w:rsid w:val="00A96020"/>
    <w:rsid w:val="00A97C1B"/>
    <w:rsid w:val="00AA2B79"/>
    <w:rsid w:val="00AB1F97"/>
    <w:rsid w:val="00AB4E6F"/>
    <w:rsid w:val="00AC34B2"/>
    <w:rsid w:val="00AC71B2"/>
    <w:rsid w:val="00AD00B9"/>
    <w:rsid w:val="00AD2297"/>
    <w:rsid w:val="00AE1532"/>
    <w:rsid w:val="00AF24F1"/>
    <w:rsid w:val="00AF409C"/>
    <w:rsid w:val="00AF7659"/>
    <w:rsid w:val="00B002AC"/>
    <w:rsid w:val="00B01D85"/>
    <w:rsid w:val="00B0692E"/>
    <w:rsid w:val="00B168C6"/>
    <w:rsid w:val="00B23D99"/>
    <w:rsid w:val="00B2434A"/>
    <w:rsid w:val="00B24E79"/>
    <w:rsid w:val="00B309E4"/>
    <w:rsid w:val="00B453C2"/>
    <w:rsid w:val="00B46A0B"/>
    <w:rsid w:val="00B47FB3"/>
    <w:rsid w:val="00B53F75"/>
    <w:rsid w:val="00B57623"/>
    <w:rsid w:val="00B676DB"/>
    <w:rsid w:val="00B6784E"/>
    <w:rsid w:val="00B7794F"/>
    <w:rsid w:val="00B80539"/>
    <w:rsid w:val="00B8660D"/>
    <w:rsid w:val="00BA30A5"/>
    <w:rsid w:val="00BA3948"/>
    <w:rsid w:val="00BA7154"/>
    <w:rsid w:val="00BB18DF"/>
    <w:rsid w:val="00BB24E5"/>
    <w:rsid w:val="00BB76EA"/>
    <w:rsid w:val="00BC2F0B"/>
    <w:rsid w:val="00BC315A"/>
    <w:rsid w:val="00BC469F"/>
    <w:rsid w:val="00BC61E4"/>
    <w:rsid w:val="00BD329F"/>
    <w:rsid w:val="00BD351F"/>
    <w:rsid w:val="00BD5569"/>
    <w:rsid w:val="00BD6014"/>
    <w:rsid w:val="00BE7115"/>
    <w:rsid w:val="00BE74EC"/>
    <w:rsid w:val="00BF12C9"/>
    <w:rsid w:val="00BF14AF"/>
    <w:rsid w:val="00BF675A"/>
    <w:rsid w:val="00BF7ECB"/>
    <w:rsid w:val="00C02001"/>
    <w:rsid w:val="00C04446"/>
    <w:rsid w:val="00C04E0D"/>
    <w:rsid w:val="00C07C15"/>
    <w:rsid w:val="00C144F3"/>
    <w:rsid w:val="00C14E42"/>
    <w:rsid w:val="00C20C05"/>
    <w:rsid w:val="00C23255"/>
    <w:rsid w:val="00C24A9E"/>
    <w:rsid w:val="00C34752"/>
    <w:rsid w:val="00C36402"/>
    <w:rsid w:val="00C51382"/>
    <w:rsid w:val="00C5161D"/>
    <w:rsid w:val="00C540E7"/>
    <w:rsid w:val="00C566D1"/>
    <w:rsid w:val="00C6039A"/>
    <w:rsid w:val="00C61D0A"/>
    <w:rsid w:val="00C63843"/>
    <w:rsid w:val="00C64FD2"/>
    <w:rsid w:val="00C750FD"/>
    <w:rsid w:val="00C856DF"/>
    <w:rsid w:val="00C96FE6"/>
    <w:rsid w:val="00C97746"/>
    <w:rsid w:val="00CA0B82"/>
    <w:rsid w:val="00CA1F94"/>
    <w:rsid w:val="00CA5782"/>
    <w:rsid w:val="00CA76C5"/>
    <w:rsid w:val="00CB00CB"/>
    <w:rsid w:val="00CB19B1"/>
    <w:rsid w:val="00CB34C7"/>
    <w:rsid w:val="00CB5A70"/>
    <w:rsid w:val="00CB6301"/>
    <w:rsid w:val="00CB6892"/>
    <w:rsid w:val="00CC0F59"/>
    <w:rsid w:val="00CC6BD7"/>
    <w:rsid w:val="00CD4D48"/>
    <w:rsid w:val="00CF29E7"/>
    <w:rsid w:val="00D11A40"/>
    <w:rsid w:val="00D1443B"/>
    <w:rsid w:val="00D15713"/>
    <w:rsid w:val="00D21B29"/>
    <w:rsid w:val="00D23F69"/>
    <w:rsid w:val="00D31361"/>
    <w:rsid w:val="00D31D98"/>
    <w:rsid w:val="00D33179"/>
    <w:rsid w:val="00D348B5"/>
    <w:rsid w:val="00D35E74"/>
    <w:rsid w:val="00D41153"/>
    <w:rsid w:val="00D438CB"/>
    <w:rsid w:val="00D464FC"/>
    <w:rsid w:val="00D55E36"/>
    <w:rsid w:val="00D601BF"/>
    <w:rsid w:val="00D62392"/>
    <w:rsid w:val="00D64809"/>
    <w:rsid w:val="00D7086F"/>
    <w:rsid w:val="00D70C9D"/>
    <w:rsid w:val="00D7545D"/>
    <w:rsid w:val="00D77FAF"/>
    <w:rsid w:val="00D80ACE"/>
    <w:rsid w:val="00D81710"/>
    <w:rsid w:val="00D81E64"/>
    <w:rsid w:val="00D90C61"/>
    <w:rsid w:val="00D927F6"/>
    <w:rsid w:val="00D9281A"/>
    <w:rsid w:val="00D97701"/>
    <w:rsid w:val="00DB4645"/>
    <w:rsid w:val="00DC73A5"/>
    <w:rsid w:val="00DD6CD0"/>
    <w:rsid w:val="00DF78F4"/>
    <w:rsid w:val="00E10AB4"/>
    <w:rsid w:val="00E130BC"/>
    <w:rsid w:val="00E15CE4"/>
    <w:rsid w:val="00E16ADB"/>
    <w:rsid w:val="00E177CF"/>
    <w:rsid w:val="00E2336B"/>
    <w:rsid w:val="00E26907"/>
    <w:rsid w:val="00E313A4"/>
    <w:rsid w:val="00E4010A"/>
    <w:rsid w:val="00E4136B"/>
    <w:rsid w:val="00E43E6C"/>
    <w:rsid w:val="00E5056C"/>
    <w:rsid w:val="00E5233D"/>
    <w:rsid w:val="00E53D57"/>
    <w:rsid w:val="00E573A0"/>
    <w:rsid w:val="00E57D8B"/>
    <w:rsid w:val="00E63DB8"/>
    <w:rsid w:val="00E65832"/>
    <w:rsid w:val="00E72B8E"/>
    <w:rsid w:val="00E74B31"/>
    <w:rsid w:val="00E86150"/>
    <w:rsid w:val="00E90194"/>
    <w:rsid w:val="00E9234F"/>
    <w:rsid w:val="00E92C12"/>
    <w:rsid w:val="00EA0863"/>
    <w:rsid w:val="00EA1681"/>
    <w:rsid w:val="00EA495A"/>
    <w:rsid w:val="00EA59E5"/>
    <w:rsid w:val="00EB1E39"/>
    <w:rsid w:val="00EB2BA7"/>
    <w:rsid w:val="00EB3922"/>
    <w:rsid w:val="00EB5CE8"/>
    <w:rsid w:val="00EB7B19"/>
    <w:rsid w:val="00EC16F9"/>
    <w:rsid w:val="00EC2DBC"/>
    <w:rsid w:val="00EC5D95"/>
    <w:rsid w:val="00ED041F"/>
    <w:rsid w:val="00ED132D"/>
    <w:rsid w:val="00ED25A9"/>
    <w:rsid w:val="00ED58C3"/>
    <w:rsid w:val="00EE3F1D"/>
    <w:rsid w:val="00EF28E3"/>
    <w:rsid w:val="00EF3AB8"/>
    <w:rsid w:val="00EF636B"/>
    <w:rsid w:val="00EF7CB0"/>
    <w:rsid w:val="00F0127B"/>
    <w:rsid w:val="00F01F5F"/>
    <w:rsid w:val="00F02F3B"/>
    <w:rsid w:val="00F05FE1"/>
    <w:rsid w:val="00F0689B"/>
    <w:rsid w:val="00F07BBE"/>
    <w:rsid w:val="00F15B9F"/>
    <w:rsid w:val="00F172C3"/>
    <w:rsid w:val="00F173A8"/>
    <w:rsid w:val="00F26FF0"/>
    <w:rsid w:val="00F37EAD"/>
    <w:rsid w:val="00F45FDA"/>
    <w:rsid w:val="00F5122C"/>
    <w:rsid w:val="00F57CF9"/>
    <w:rsid w:val="00F6027B"/>
    <w:rsid w:val="00F60F04"/>
    <w:rsid w:val="00F617B2"/>
    <w:rsid w:val="00F61E72"/>
    <w:rsid w:val="00F842D2"/>
    <w:rsid w:val="00F853C4"/>
    <w:rsid w:val="00F85F58"/>
    <w:rsid w:val="00F90BA6"/>
    <w:rsid w:val="00F93E22"/>
    <w:rsid w:val="00FA1D55"/>
    <w:rsid w:val="00FA2121"/>
    <w:rsid w:val="00FB2B2D"/>
    <w:rsid w:val="00FB32EA"/>
    <w:rsid w:val="00FB3698"/>
    <w:rsid w:val="00FB38B1"/>
    <w:rsid w:val="00FC5B77"/>
    <w:rsid w:val="00FD4953"/>
    <w:rsid w:val="00FD735C"/>
    <w:rsid w:val="00FE3BE8"/>
    <w:rsid w:val="00FE4F3D"/>
    <w:rsid w:val="00FE7B4C"/>
    <w:rsid w:val="00FF1142"/>
    <w:rsid w:val="00FF162B"/>
    <w:rsid w:val="00FF1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683"/>
    <w:rPr>
      <w:sz w:val="24"/>
      <w:szCs w:val="24"/>
    </w:rPr>
  </w:style>
  <w:style w:type="paragraph" w:styleId="Heading1">
    <w:name w:val="heading 1"/>
    <w:basedOn w:val="Normal"/>
    <w:next w:val="Normal"/>
    <w:qFormat/>
    <w:rsid w:val="00544683"/>
    <w:pPr>
      <w:keepNext/>
      <w:spacing w:after="240"/>
      <w:outlineLvl w:val="0"/>
    </w:pPr>
    <w:rPr>
      <w:rFonts w:cs="Arial"/>
      <w:b/>
      <w:bCs/>
      <w:caps/>
      <w:kern w:val="32"/>
      <w:sz w:val="26"/>
      <w:szCs w:val="32"/>
    </w:rPr>
  </w:style>
  <w:style w:type="paragraph" w:styleId="Heading2">
    <w:name w:val="heading 2"/>
    <w:basedOn w:val="Normal"/>
    <w:next w:val="Normal"/>
    <w:qFormat/>
    <w:rsid w:val="00544683"/>
    <w:pPr>
      <w:keepNext/>
      <w:spacing w:before="240" w:after="240"/>
      <w:outlineLvl w:val="1"/>
    </w:pPr>
    <w:rPr>
      <w:rFonts w:cs="Arial"/>
      <w:b/>
      <w:bCs/>
      <w:iCs/>
      <w:caps/>
      <w:sz w:val="20"/>
      <w:szCs w:val="28"/>
      <w:u w:val="single"/>
    </w:rPr>
  </w:style>
  <w:style w:type="paragraph" w:styleId="Heading3">
    <w:name w:val="heading 3"/>
    <w:basedOn w:val="Normal"/>
    <w:next w:val="Normal"/>
    <w:qFormat/>
    <w:rsid w:val="00544683"/>
    <w:pPr>
      <w:keepNext/>
      <w:spacing w:after="24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44683"/>
    <w:pPr>
      <w:ind w:left="-720"/>
      <w:jc w:val="both"/>
    </w:pPr>
    <w:rPr>
      <w:sz w:val="20"/>
    </w:rPr>
  </w:style>
  <w:style w:type="paragraph" w:styleId="BodyText">
    <w:name w:val="Body Text"/>
    <w:basedOn w:val="Normal"/>
    <w:semiHidden/>
    <w:rsid w:val="00544683"/>
    <w:pPr>
      <w:spacing w:after="240"/>
      <w:jc w:val="both"/>
    </w:pPr>
    <w:rPr>
      <w:sz w:val="20"/>
    </w:rPr>
  </w:style>
  <w:style w:type="character" w:styleId="Hyperlink">
    <w:name w:val="Hyperlink"/>
    <w:semiHidden/>
    <w:rsid w:val="00544683"/>
    <w:rPr>
      <w:color w:val="0000FF"/>
      <w:u w:val="single"/>
    </w:rPr>
  </w:style>
  <w:style w:type="paragraph" w:styleId="Header">
    <w:name w:val="header"/>
    <w:basedOn w:val="Normal"/>
    <w:semiHidden/>
    <w:rsid w:val="00544683"/>
    <w:pPr>
      <w:tabs>
        <w:tab w:val="center" w:pos="4320"/>
        <w:tab w:val="right" w:pos="8640"/>
      </w:tabs>
    </w:pPr>
  </w:style>
  <w:style w:type="paragraph" w:styleId="Footer">
    <w:name w:val="footer"/>
    <w:basedOn w:val="Normal"/>
    <w:semiHidden/>
    <w:rsid w:val="00544683"/>
    <w:pPr>
      <w:tabs>
        <w:tab w:val="center" w:pos="4320"/>
        <w:tab w:val="right" w:pos="8640"/>
      </w:tabs>
    </w:pPr>
  </w:style>
  <w:style w:type="character" w:styleId="PageNumber">
    <w:name w:val="page number"/>
    <w:basedOn w:val="DefaultParagraphFont"/>
    <w:semiHidden/>
    <w:rsid w:val="00544683"/>
  </w:style>
  <w:style w:type="character" w:styleId="FollowedHyperlink">
    <w:name w:val="FollowedHyperlink"/>
    <w:semiHidden/>
    <w:rsid w:val="00544683"/>
    <w:rPr>
      <w:color w:val="800080"/>
      <w:u w:val="single"/>
    </w:rPr>
  </w:style>
  <w:style w:type="paragraph" w:styleId="Title">
    <w:name w:val="Title"/>
    <w:basedOn w:val="Normal"/>
    <w:qFormat/>
    <w:rsid w:val="00544683"/>
    <w:pPr>
      <w:spacing w:before="240" w:after="60"/>
      <w:jc w:val="center"/>
      <w:outlineLvl w:val="0"/>
    </w:pPr>
    <w:rPr>
      <w:rFonts w:ascii="Arial" w:hAnsi="Arial" w:cs="Arial"/>
      <w:b/>
      <w:bCs/>
      <w:kern w:val="28"/>
      <w:sz w:val="28"/>
      <w:szCs w:val="32"/>
    </w:rPr>
  </w:style>
  <w:style w:type="paragraph" w:styleId="BodyText2">
    <w:name w:val="Body Text 2"/>
    <w:basedOn w:val="Normal"/>
    <w:semiHidden/>
    <w:rsid w:val="00544683"/>
    <w:pPr>
      <w:spacing w:after="240"/>
      <w:jc w:val="both"/>
    </w:pPr>
    <w:rPr>
      <w:sz w:val="22"/>
    </w:rPr>
  </w:style>
  <w:style w:type="paragraph" w:styleId="BodyText3">
    <w:name w:val="Body Text 3"/>
    <w:basedOn w:val="Normal"/>
    <w:semiHidden/>
    <w:rsid w:val="00544683"/>
    <w:rPr>
      <w:sz w:val="20"/>
    </w:rPr>
  </w:style>
  <w:style w:type="paragraph" w:styleId="BalloonText">
    <w:name w:val="Balloon Text"/>
    <w:basedOn w:val="Normal"/>
    <w:semiHidden/>
    <w:rsid w:val="00544683"/>
    <w:rPr>
      <w:rFonts w:ascii="Tahoma" w:hAnsi="Tahoma" w:cs="Tahoma"/>
      <w:sz w:val="16"/>
      <w:szCs w:val="16"/>
    </w:rPr>
  </w:style>
  <w:style w:type="paragraph" w:styleId="BodyTextIndent2">
    <w:name w:val="Body Text Indent 2"/>
    <w:basedOn w:val="Normal"/>
    <w:semiHidden/>
    <w:rsid w:val="00544683"/>
    <w:pPr>
      <w:spacing w:after="240"/>
      <w:ind w:left="360"/>
      <w:jc w:val="both"/>
    </w:pPr>
    <w:rPr>
      <w:sz w:val="20"/>
    </w:rPr>
  </w:style>
  <w:style w:type="character" w:styleId="CommentReference">
    <w:name w:val="annotation reference"/>
    <w:uiPriority w:val="99"/>
    <w:semiHidden/>
    <w:unhideWhenUsed/>
    <w:rsid w:val="00E74B31"/>
    <w:rPr>
      <w:sz w:val="16"/>
      <w:szCs w:val="16"/>
    </w:rPr>
  </w:style>
  <w:style w:type="paragraph" w:styleId="CommentText">
    <w:name w:val="annotation text"/>
    <w:basedOn w:val="Normal"/>
    <w:link w:val="CommentTextChar"/>
    <w:uiPriority w:val="99"/>
    <w:semiHidden/>
    <w:unhideWhenUsed/>
    <w:rsid w:val="00E74B31"/>
    <w:rPr>
      <w:sz w:val="20"/>
      <w:szCs w:val="20"/>
    </w:rPr>
  </w:style>
  <w:style w:type="character" w:customStyle="1" w:styleId="CommentTextChar">
    <w:name w:val="Comment Text Char"/>
    <w:basedOn w:val="DefaultParagraphFont"/>
    <w:link w:val="CommentText"/>
    <w:uiPriority w:val="99"/>
    <w:semiHidden/>
    <w:rsid w:val="00E74B31"/>
  </w:style>
  <w:style w:type="paragraph" w:styleId="CommentSubject">
    <w:name w:val="annotation subject"/>
    <w:basedOn w:val="CommentText"/>
    <w:next w:val="CommentText"/>
    <w:link w:val="CommentSubjectChar"/>
    <w:uiPriority w:val="99"/>
    <w:semiHidden/>
    <w:unhideWhenUsed/>
    <w:rsid w:val="00E74B31"/>
    <w:rPr>
      <w:b/>
      <w:bCs/>
    </w:rPr>
  </w:style>
  <w:style w:type="character" w:customStyle="1" w:styleId="CommentSubjectChar">
    <w:name w:val="Comment Subject Char"/>
    <w:link w:val="CommentSubject"/>
    <w:uiPriority w:val="99"/>
    <w:semiHidden/>
    <w:rsid w:val="00E74B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683"/>
    <w:rPr>
      <w:sz w:val="24"/>
      <w:szCs w:val="24"/>
    </w:rPr>
  </w:style>
  <w:style w:type="paragraph" w:styleId="Heading1">
    <w:name w:val="heading 1"/>
    <w:basedOn w:val="Normal"/>
    <w:next w:val="Normal"/>
    <w:qFormat/>
    <w:rsid w:val="00544683"/>
    <w:pPr>
      <w:keepNext/>
      <w:spacing w:after="240"/>
      <w:outlineLvl w:val="0"/>
    </w:pPr>
    <w:rPr>
      <w:rFonts w:cs="Arial"/>
      <w:b/>
      <w:bCs/>
      <w:caps/>
      <w:kern w:val="32"/>
      <w:sz w:val="26"/>
      <w:szCs w:val="32"/>
    </w:rPr>
  </w:style>
  <w:style w:type="paragraph" w:styleId="Heading2">
    <w:name w:val="heading 2"/>
    <w:basedOn w:val="Normal"/>
    <w:next w:val="Normal"/>
    <w:qFormat/>
    <w:rsid w:val="00544683"/>
    <w:pPr>
      <w:keepNext/>
      <w:spacing w:before="240" w:after="240"/>
      <w:outlineLvl w:val="1"/>
    </w:pPr>
    <w:rPr>
      <w:rFonts w:cs="Arial"/>
      <w:b/>
      <w:bCs/>
      <w:iCs/>
      <w:caps/>
      <w:sz w:val="20"/>
      <w:szCs w:val="28"/>
      <w:u w:val="single"/>
    </w:rPr>
  </w:style>
  <w:style w:type="paragraph" w:styleId="Heading3">
    <w:name w:val="heading 3"/>
    <w:basedOn w:val="Normal"/>
    <w:next w:val="Normal"/>
    <w:qFormat/>
    <w:rsid w:val="00544683"/>
    <w:pPr>
      <w:keepNext/>
      <w:spacing w:after="240"/>
      <w:outlineLvl w:val="2"/>
    </w:pPr>
    <w:rPr>
      <w:rFonts w:cs="Arial"/>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44683"/>
    <w:pPr>
      <w:ind w:left="-720"/>
      <w:jc w:val="both"/>
    </w:pPr>
    <w:rPr>
      <w:sz w:val="20"/>
    </w:rPr>
  </w:style>
  <w:style w:type="paragraph" w:styleId="BodyText">
    <w:name w:val="Body Text"/>
    <w:basedOn w:val="Normal"/>
    <w:semiHidden/>
    <w:rsid w:val="00544683"/>
    <w:pPr>
      <w:spacing w:after="240"/>
      <w:jc w:val="both"/>
    </w:pPr>
    <w:rPr>
      <w:sz w:val="20"/>
    </w:rPr>
  </w:style>
  <w:style w:type="character" w:styleId="Hyperlink">
    <w:name w:val="Hyperlink"/>
    <w:semiHidden/>
    <w:rsid w:val="00544683"/>
    <w:rPr>
      <w:color w:val="0000FF"/>
      <w:u w:val="single"/>
    </w:rPr>
  </w:style>
  <w:style w:type="paragraph" w:styleId="Header">
    <w:name w:val="header"/>
    <w:basedOn w:val="Normal"/>
    <w:semiHidden/>
    <w:rsid w:val="00544683"/>
    <w:pPr>
      <w:tabs>
        <w:tab w:val="center" w:pos="4320"/>
        <w:tab w:val="right" w:pos="8640"/>
      </w:tabs>
    </w:pPr>
  </w:style>
  <w:style w:type="paragraph" w:styleId="Footer">
    <w:name w:val="footer"/>
    <w:basedOn w:val="Normal"/>
    <w:semiHidden/>
    <w:rsid w:val="00544683"/>
    <w:pPr>
      <w:tabs>
        <w:tab w:val="center" w:pos="4320"/>
        <w:tab w:val="right" w:pos="8640"/>
      </w:tabs>
    </w:pPr>
  </w:style>
  <w:style w:type="character" w:styleId="PageNumber">
    <w:name w:val="page number"/>
    <w:basedOn w:val="DefaultParagraphFont"/>
    <w:semiHidden/>
    <w:rsid w:val="00544683"/>
  </w:style>
  <w:style w:type="character" w:styleId="FollowedHyperlink">
    <w:name w:val="FollowedHyperlink"/>
    <w:semiHidden/>
    <w:rsid w:val="00544683"/>
    <w:rPr>
      <w:color w:val="800080"/>
      <w:u w:val="single"/>
    </w:rPr>
  </w:style>
  <w:style w:type="paragraph" w:styleId="Title">
    <w:name w:val="Title"/>
    <w:basedOn w:val="Normal"/>
    <w:qFormat/>
    <w:rsid w:val="00544683"/>
    <w:pPr>
      <w:spacing w:before="240" w:after="60"/>
      <w:jc w:val="center"/>
      <w:outlineLvl w:val="0"/>
    </w:pPr>
    <w:rPr>
      <w:rFonts w:ascii="Arial" w:hAnsi="Arial" w:cs="Arial"/>
      <w:b/>
      <w:bCs/>
      <w:kern w:val="28"/>
      <w:sz w:val="28"/>
      <w:szCs w:val="32"/>
    </w:rPr>
  </w:style>
  <w:style w:type="paragraph" w:styleId="BodyText2">
    <w:name w:val="Body Text 2"/>
    <w:basedOn w:val="Normal"/>
    <w:semiHidden/>
    <w:rsid w:val="00544683"/>
    <w:pPr>
      <w:spacing w:after="240"/>
      <w:jc w:val="both"/>
    </w:pPr>
    <w:rPr>
      <w:sz w:val="22"/>
    </w:rPr>
  </w:style>
  <w:style w:type="paragraph" w:styleId="BodyText3">
    <w:name w:val="Body Text 3"/>
    <w:basedOn w:val="Normal"/>
    <w:semiHidden/>
    <w:rsid w:val="00544683"/>
    <w:rPr>
      <w:sz w:val="20"/>
    </w:rPr>
  </w:style>
  <w:style w:type="paragraph" w:styleId="BalloonText">
    <w:name w:val="Balloon Text"/>
    <w:basedOn w:val="Normal"/>
    <w:semiHidden/>
    <w:rsid w:val="00544683"/>
    <w:rPr>
      <w:rFonts w:ascii="Tahoma" w:hAnsi="Tahoma" w:cs="Tahoma"/>
      <w:sz w:val="16"/>
      <w:szCs w:val="16"/>
    </w:rPr>
  </w:style>
  <w:style w:type="paragraph" w:styleId="BodyTextIndent2">
    <w:name w:val="Body Text Indent 2"/>
    <w:basedOn w:val="Normal"/>
    <w:semiHidden/>
    <w:rsid w:val="00544683"/>
    <w:pPr>
      <w:spacing w:after="240"/>
      <w:ind w:left="360"/>
      <w:jc w:val="both"/>
    </w:pPr>
    <w:rPr>
      <w:sz w:val="20"/>
    </w:rPr>
  </w:style>
  <w:style w:type="character" w:styleId="CommentReference">
    <w:name w:val="annotation reference"/>
    <w:uiPriority w:val="99"/>
    <w:semiHidden/>
    <w:unhideWhenUsed/>
    <w:rsid w:val="00E74B31"/>
    <w:rPr>
      <w:sz w:val="16"/>
      <w:szCs w:val="16"/>
    </w:rPr>
  </w:style>
  <w:style w:type="paragraph" w:styleId="CommentText">
    <w:name w:val="annotation text"/>
    <w:basedOn w:val="Normal"/>
    <w:link w:val="CommentTextChar"/>
    <w:uiPriority w:val="99"/>
    <w:semiHidden/>
    <w:unhideWhenUsed/>
    <w:rsid w:val="00E74B31"/>
    <w:rPr>
      <w:sz w:val="20"/>
      <w:szCs w:val="20"/>
    </w:rPr>
  </w:style>
  <w:style w:type="character" w:customStyle="1" w:styleId="CommentTextChar">
    <w:name w:val="Comment Text Char"/>
    <w:basedOn w:val="DefaultParagraphFont"/>
    <w:link w:val="CommentText"/>
    <w:uiPriority w:val="99"/>
    <w:semiHidden/>
    <w:rsid w:val="00E74B31"/>
  </w:style>
  <w:style w:type="paragraph" w:styleId="CommentSubject">
    <w:name w:val="annotation subject"/>
    <w:basedOn w:val="CommentText"/>
    <w:next w:val="CommentText"/>
    <w:link w:val="CommentSubjectChar"/>
    <w:uiPriority w:val="99"/>
    <w:semiHidden/>
    <w:unhideWhenUsed/>
    <w:rsid w:val="00E74B31"/>
    <w:rPr>
      <w:b/>
      <w:bCs/>
    </w:rPr>
  </w:style>
  <w:style w:type="character" w:customStyle="1" w:styleId="CommentSubjectChar">
    <w:name w:val="Comment Subject Char"/>
    <w:link w:val="CommentSubject"/>
    <w:uiPriority w:val="99"/>
    <w:semiHidden/>
    <w:rsid w:val="00E74B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a.gov/scb/index.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ea.gov/iTable/index_ita.cfm"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sus.gov/foreign-trade/aip/index.html" TargetMode="External"/><Relationship Id="rId5" Type="http://schemas.openxmlformats.org/officeDocument/2006/relationships/settings" Target="settings.xml"/><Relationship Id="rId15" Type="http://schemas.openxmlformats.org/officeDocument/2006/relationships/hyperlink" Target="http://www.bea.gov/newsreleases/international/trade/tradnewsrelease.htm"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census.gov/foreign-trade/Press-Release/current_press_rel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73C8-1F8C-40D5-9C79-1A97E4D3F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6CA839F0.dotm</Template>
  <TotalTime>0</TotalTime>
  <Pages>5</Pages>
  <Words>3911</Words>
  <Characters>22293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INFORMATION ON GOODS AND SERVICES</vt:lpstr>
    </vt:vector>
  </TitlesOfParts>
  <Company>US Census Bureau</Company>
  <LinksUpToDate>false</LinksUpToDate>
  <CharactersWithSpaces>26152</CharactersWithSpaces>
  <SharedDoc>false</SharedDoc>
  <HLinks>
    <vt:vector size="30" baseType="variant">
      <vt:variant>
        <vt:i4>3473446</vt:i4>
      </vt:variant>
      <vt:variant>
        <vt:i4>12</vt:i4>
      </vt:variant>
      <vt:variant>
        <vt:i4>0</vt:i4>
      </vt:variant>
      <vt:variant>
        <vt:i4>5</vt:i4>
      </vt:variant>
      <vt:variant>
        <vt:lpwstr>http://www.bea.gov/newsreleases/international/trade/tradnewsrelease.htm</vt:lpwstr>
      </vt:variant>
      <vt:variant>
        <vt:lpwstr/>
      </vt:variant>
      <vt:variant>
        <vt:i4>71</vt:i4>
      </vt:variant>
      <vt:variant>
        <vt:i4>9</vt:i4>
      </vt:variant>
      <vt:variant>
        <vt:i4>0</vt:i4>
      </vt:variant>
      <vt:variant>
        <vt:i4>5</vt:i4>
      </vt:variant>
      <vt:variant>
        <vt:lpwstr>http://www.census.gov/foreign-trade/Press-Release/current_press_release/</vt:lpwstr>
      </vt:variant>
      <vt:variant>
        <vt:lpwstr/>
      </vt:variant>
      <vt:variant>
        <vt:i4>5767238</vt:i4>
      </vt:variant>
      <vt:variant>
        <vt:i4>6</vt:i4>
      </vt:variant>
      <vt:variant>
        <vt:i4>0</vt:i4>
      </vt:variant>
      <vt:variant>
        <vt:i4>5</vt:i4>
      </vt:variant>
      <vt:variant>
        <vt:lpwstr>http://www.bea.gov/scb/index.htm</vt:lpwstr>
      </vt:variant>
      <vt:variant>
        <vt:lpwstr/>
      </vt:variant>
      <vt:variant>
        <vt:i4>1703990</vt:i4>
      </vt:variant>
      <vt:variant>
        <vt:i4>3</vt:i4>
      </vt:variant>
      <vt:variant>
        <vt:i4>0</vt:i4>
      </vt:variant>
      <vt:variant>
        <vt:i4>5</vt:i4>
      </vt:variant>
      <vt:variant>
        <vt:lpwstr>http://www.bea.gov/iTable/index_ita.cfm</vt:lpwstr>
      </vt:variant>
      <vt:variant>
        <vt:lpwstr/>
      </vt:variant>
      <vt:variant>
        <vt:i4>4784219</vt:i4>
      </vt:variant>
      <vt:variant>
        <vt:i4>0</vt:i4>
      </vt:variant>
      <vt:variant>
        <vt:i4>0</vt:i4>
      </vt:variant>
      <vt:variant>
        <vt:i4>5</vt:i4>
      </vt:variant>
      <vt:variant>
        <vt:lpwstr>http://www.census.gov/foreign-trade/aip/index.html</vt:lpwstr>
      </vt:variant>
      <vt:variant>
        <vt:lpwstr>infopapers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ON GOODS AND SERVICES</dc:title>
  <dc:creator>kafch001</dc:creator>
  <cp:lastModifiedBy>mistr001</cp:lastModifiedBy>
  <cp:revision>2</cp:revision>
  <cp:lastPrinted>2012-06-06T14:51:00Z</cp:lastPrinted>
  <dcterms:created xsi:type="dcterms:W3CDTF">2012-06-07T19:32:00Z</dcterms:created>
  <dcterms:modified xsi:type="dcterms:W3CDTF">2012-06-07T19:32:00Z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1681578768</vt:i4>
  </property>
  <property fmtid="{D5CDD505-2E9C-101B-9397-08002B2CF9AE}" pid="4" name="_EmailSubject">
    <vt:lpwstr>Edited FT900 Information section</vt:lpwstr>
  </property>
  <property fmtid="{D5CDD505-2E9C-101B-9397-08002B2CF9AE}" pid="5" name="_AuthorEmail">
    <vt:lpwstr>Lori.Chang@bea.gov</vt:lpwstr>
  </property>
  <property fmtid="{D5CDD505-2E9C-101B-9397-08002B2CF9AE}" pid="6" name="_AuthorEmailDisplayName">
    <vt:lpwstr>Chang, Lori</vt:lpwstr>
  </property>
  <property fmtid="{D5CDD505-2E9C-101B-9397-08002B2CF9AE}" pid="7" name="_PreviousAdHocReviewCycleID">
    <vt:i4>2021291327</vt:i4>
  </property>
  <property fmtid="{D5CDD505-2E9C-101B-9397-08002B2CF9AE}" pid="8" name="_ReviewingToolsShownOnce">
    <vt:lpwstr/>
  </property>
</Properties>
</file>