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Default Extension="jpg" ContentType="image/jpeg"/>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drawings/drawing1.xml" ContentType="application/vnd.openxmlformats-officedocument.drawingml.chartshap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4E91BE" w14:textId="56FE0773" w:rsidR="000C0B5C" w:rsidRPr="003E3755" w:rsidRDefault="000C0B5C" w:rsidP="00E53A3F">
      <w:pPr>
        <w:spacing w:after="240" w:line="240" w:lineRule="auto"/>
        <w:rPr>
          <w:rFonts w:ascii="Arial" w:hAnsi="Arial" w:cs="Arial"/>
          <w:b/>
        </w:rPr>
      </w:pPr>
      <w:r w:rsidRPr="000C0B5C">
        <w:rPr>
          <w:rFonts w:ascii="Arial" w:hAnsi="Arial" w:cs="Arial"/>
          <w:b/>
        </w:rPr>
        <w:t>FOR RELEA</w:t>
      </w:r>
      <w:r w:rsidR="00A95685">
        <w:rPr>
          <w:rFonts w:ascii="Arial" w:hAnsi="Arial" w:cs="Arial"/>
          <w:b/>
        </w:rPr>
        <w:t>SE AT 8:30 AM</w:t>
      </w:r>
      <w:r w:rsidR="003E3755">
        <w:rPr>
          <w:rFonts w:ascii="Arial" w:hAnsi="Arial" w:cs="Arial"/>
          <w:b/>
        </w:rPr>
        <w:t xml:space="preserve"> </w:t>
      </w:r>
      <w:r w:rsidR="003E19CE" w:rsidRPr="003E19CE">
        <w:rPr>
          <w:rFonts w:ascii="Arial" w:hAnsi="Arial" w:cs="Arial"/>
          <w:b/>
        </w:rPr>
        <w:t>EDT, THURSDAY, APRIL 5, 2018</w:t>
      </w:r>
    </w:p>
    <w:p w14:paraId="5B9C1ECB" w14:textId="6A7B900B" w:rsidR="003E3755" w:rsidRPr="003E3755" w:rsidRDefault="00F65176" w:rsidP="00E53A3F">
      <w:pPr>
        <w:spacing w:after="240" w:line="240" w:lineRule="auto"/>
        <w:rPr>
          <w:rFonts w:ascii="Arial" w:hAnsi="Arial" w:cs="Arial"/>
          <w:b/>
          <w:sz w:val="28"/>
          <w:szCs w:val="28"/>
        </w:rPr>
      </w:pPr>
      <w:r w:rsidRPr="006914F1">
        <w:rPr>
          <w:rFonts w:ascii="Arial" w:hAnsi="Arial" w:cs="Arial"/>
          <w:b/>
          <w:color w:val="000000" w:themeColor="text1"/>
          <w:sz w:val="28"/>
          <w:szCs w:val="28"/>
        </w:rPr>
        <w:t>MONTHLY</w:t>
      </w:r>
      <w:r w:rsidRPr="005B61C2">
        <w:rPr>
          <w:rFonts w:ascii="Arial" w:hAnsi="Arial" w:cs="Arial"/>
          <w:b/>
          <w:sz w:val="28"/>
          <w:szCs w:val="28"/>
        </w:rPr>
        <w:t xml:space="preserve"> </w:t>
      </w:r>
      <w:r w:rsidR="00FB4D77">
        <w:rPr>
          <w:rFonts w:ascii="Arial" w:hAnsi="Arial" w:cs="Arial"/>
          <w:b/>
          <w:sz w:val="28"/>
          <w:szCs w:val="28"/>
        </w:rPr>
        <w:t xml:space="preserve">U.S. INTERNATIONAL </w:t>
      </w:r>
      <w:r w:rsidR="00FB4D77" w:rsidRPr="00FB4D77">
        <w:rPr>
          <w:rFonts w:ascii="Arial" w:hAnsi="Arial" w:cs="Arial"/>
          <w:b/>
          <w:sz w:val="28"/>
          <w:szCs w:val="28"/>
        </w:rPr>
        <w:t>TRADE IN GOODS AND SERVICES</w:t>
      </w:r>
      <w:r w:rsidR="00FB4D77">
        <w:rPr>
          <w:rFonts w:ascii="Arial" w:hAnsi="Arial" w:cs="Arial"/>
          <w:b/>
          <w:sz w:val="28"/>
          <w:szCs w:val="28"/>
        </w:rPr>
        <w:t>,</w:t>
      </w:r>
      <w:r w:rsidR="003F4F1C">
        <w:rPr>
          <w:rFonts w:ascii="Arial" w:hAnsi="Arial" w:cs="Arial"/>
          <w:b/>
          <w:sz w:val="28"/>
          <w:szCs w:val="28"/>
        </w:rPr>
        <w:t xml:space="preserve"> </w:t>
      </w:r>
      <w:r w:rsidR="003E19CE" w:rsidRPr="003E19CE">
        <w:rPr>
          <w:rFonts w:ascii="Arial" w:hAnsi="Arial" w:cs="Arial"/>
          <w:b/>
          <w:sz w:val="28"/>
          <w:szCs w:val="28"/>
        </w:rPr>
        <w:t>FEBRUARY 2018</w:t>
      </w:r>
    </w:p>
    <w:p w14:paraId="2AB68F0B" w14:textId="62EDB54E" w:rsidR="00D62B44" w:rsidRPr="00666964" w:rsidRDefault="00071CE7" w:rsidP="00881017">
      <w:pPr>
        <w:spacing w:after="120" w:line="240" w:lineRule="auto"/>
        <w:rPr>
          <w:rFonts w:cs="Times New Roman"/>
          <w:b/>
          <w:sz w:val="28"/>
          <w:szCs w:val="28"/>
        </w:rPr>
        <w:sectPr w:rsidR="00D62B44" w:rsidRPr="00666964" w:rsidSect="006D715D">
          <w:headerReference w:type="even" r:id="rId13"/>
          <w:headerReference w:type="default" r:id="rId14"/>
          <w:footerReference w:type="even" r:id="rId15"/>
          <w:footerReference w:type="default" r:id="rId16"/>
          <w:headerReference w:type="first" r:id="rId17"/>
          <w:footerReference w:type="first" r:id="rId18"/>
          <w:pgSz w:w="12240" w:h="15840"/>
          <w:pgMar w:top="450" w:right="720" w:bottom="720" w:left="720" w:header="720" w:footer="432" w:gutter="0"/>
          <w:cols w:space="720"/>
          <w:docGrid w:linePitch="360"/>
        </w:sectPr>
      </w:pPr>
      <w:r w:rsidRPr="005B61C2">
        <w:rPr>
          <w:rFonts w:ascii="Times New Roman" w:hAnsi="Times New Roman" w:cs="Times New Roman"/>
          <w:sz w:val="24"/>
          <w:szCs w:val="24"/>
        </w:rPr>
        <w:t>Releas</w:t>
      </w:r>
      <w:r w:rsidR="000065B4" w:rsidRPr="005B61C2">
        <w:rPr>
          <w:rFonts w:ascii="Times New Roman" w:hAnsi="Times New Roman" w:cs="Times New Roman"/>
          <w:sz w:val="24"/>
          <w:szCs w:val="24"/>
        </w:rPr>
        <w:t>e Number: CB</w:t>
      </w:r>
      <w:r w:rsidR="00035B89">
        <w:rPr>
          <w:rFonts w:ascii="Times New Roman" w:hAnsi="Times New Roman" w:cs="Times New Roman"/>
          <w:sz w:val="24"/>
          <w:szCs w:val="24"/>
        </w:rPr>
        <w:t xml:space="preserve"> 18</w:t>
      </w:r>
      <w:r w:rsidR="000065B4" w:rsidRPr="005B61C2">
        <w:rPr>
          <w:rFonts w:ascii="Times New Roman" w:hAnsi="Times New Roman" w:cs="Times New Roman"/>
          <w:sz w:val="24"/>
          <w:szCs w:val="24"/>
        </w:rPr>
        <w:t>-</w:t>
      </w:r>
      <w:r w:rsidR="00FD0525">
        <w:rPr>
          <w:rFonts w:ascii="Times New Roman" w:hAnsi="Times New Roman" w:cs="Times New Roman"/>
          <w:sz w:val="24"/>
          <w:szCs w:val="24"/>
        </w:rPr>
        <w:t>52</w:t>
      </w:r>
      <w:r w:rsidR="006D398D">
        <w:rPr>
          <w:rFonts w:ascii="Times New Roman" w:hAnsi="Times New Roman" w:cs="Times New Roman"/>
          <w:sz w:val="24"/>
          <w:szCs w:val="24"/>
        </w:rPr>
        <w:t>,</w:t>
      </w:r>
      <w:r w:rsidR="008E7877">
        <w:rPr>
          <w:rFonts w:ascii="Times New Roman" w:hAnsi="Times New Roman" w:cs="Times New Roman"/>
          <w:sz w:val="24"/>
          <w:szCs w:val="24"/>
        </w:rPr>
        <w:t xml:space="preserve"> </w:t>
      </w:r>
      <w:r w:rsidR="002C4C11">
        <w:rPr>
          <w:rFonts w:ascii="Times New Roman" w:hAnsi="Times New Roman" w:cs="Times New Roman"/>
          <w:sz w:val="24"/>
          <w:szCs w:val="24"/>
        </w:rPr>
        <w:t>BEA</w:t>
      </w:r>
      <w:r w:rsidR="00A52F39">
        <w:rPr>
          <w:rFonts w:ascii="Times New Roman" w:hAnsi="Times New Roman" w:cs="Times New Roman"/>
          <w:sz w:val="24"/>
          <w:szCs w:val="24"/>
        </w:rPr>
        <w:t xml:space="preserve"> 18</w:t>
      </w:r>
      <w:r w:rsidR="000065B4" w:rsidRPr="005B61C2">
        <w:rPr>
          <w:rFonts w:ascii="Times New Roman" w:hAnsi="Times New Roman" w:cs="Times New Roman"/>
          <w:sz w:val="24"/>
          <w:szCs w:val="24"/>
        </w:rPr>
        <w:t>-</w:t>
      </w:r>
      <w:r w:rsidR="007F40B3">
        <w:rPr>
          <w:rFonts w:ascii="Times New Roman" w:hAnsi="Times New Roman" w:cs="Times New Roman"/>
          <w:sz w:val="24"/>
          <w:szCs w:val="24"/>
        </w:rPr>
        <w:t>17</w:t>
      </w:r>
    </w:p>
    <w:p w14:paraId="48307893" w14:textId="2EE187D3" w:rsidR="00F65176" w:rsidRPr="005B61C2" w:rsidRDefault="00AB250E" w:rsidP="00881017">
      <w:pPr>
        <w:spacing w:after="120"/>
        <w:ind w:left="-360"/>
        <w:rPr>
          <w:rFonts w:ascii="Times New Roman" w:hAnsi="Times New Roman" w:cs="Times New Roman"/>
          <w:sz w:val="24"/>
          <w:szCs w:val="24"/>
        </w:rPr>
      </w:pPr>
      <w:r>
        <w:rPr>
          <w:noProof/>
        </w:rPr>
        <w:drawing>
          <wp:anchor distT="0" distB="0" distL="114300" distR="114300" simplePos="0" relativeHeight="251663360" behindDoc="0" locked="0" layoutInCell="1" allowOverlap="1" wp14:anchorId="63838FF4" wp14:editId="57CB3658">
            <wp:simplePos x="0" y="0"/>
            <wp:positionH relativeFrom="column">
              <wp:posOffset>3200400</wp:posOffset>
            </wp:positionH>
            <wp:positionV relativeFrom="page">
              <wp:posOffset>2636520</wp:posOffset>
            </wp:positionV>
            <wp:extent cx="3172968" cy="1938528"/>
            <wp:effectExtent l="0" t="0" r="8890" b="5080"/>
            <wp:wrapSquare wrapText="left"/>
            <wp:docPr id="1" name="Chart 1">
              <a:extLst xmlns:a="http://schemas.openxmlformats.org/drawingml/2006/main">
                <a:ext uri="{FF2B5EF4-FFF2-40B4-BE49-F238E27FC236}">
                  <a16:creationId xmlns:a16="http://schemas.microsoft.com/office/drawing/2014/main" id="{4B2B0719-1405-4F11-864E-33A172A4BA6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14:sizeRelH relativeFrom="margin">
              <wp14:pctWidth>0</wp14:pctWidth>
            </wp14:sizeRelH>
            <wp14:sizeRelV relativeFrom="margin">
              <wp14:pctHeight>0</wp14:pctHeight>
            </wp14:sizeRelV>
          </wp:anchor>
        </w:drawing>
      </w:r>
      <w:r w:rsidR="003E19CE" w:rsidRPr="003E19CE">
        <w:rPr>
          <w:rFonts w:ascii="Times New Roman" w:hAnsi="Times New Roman" w:cs="Times New Roman"/>
          <w:b/>
          <w:sz w:val="24"/>
          <w:szCs w:val="24"/>
        </w:rPr>
        <w:t>APRIL 5, 2018</w:t>
      </w:r>
      <w:r w:rsidR="00FA78EE" w:rsidRPr="005B61C2">
        <w:rPr>
          <w:rFonts w:ascii="Times New Roman" w:hAnsi="Times New Roman" w:cs="Times New Roman"/>
          <w:b/>
          <w:sz w:val="24"/>
          <w:szCs w:val="24"/>
        </w:rPr>
        <w:t xml:space="preserve"> </w:t>
      </w:r>
      <w:r w:rsidR="00FA78EE" w:rsidRPr="005B61C2">
        <w:rPr>
          <w:rFonts w:ascii="Times New Roman" w:hAnsi="Times New Roman" w:cs="Times New Roman"/>
          <w:sz w:val="24"/>
          <w:szCs w:val="24"/>
        </w:rPr>
        <w:t>—</w:t>
      </w:r>
      <w:r w:rsidR="00FA78EE" w:rsidRPr="005B61C2">
        <w:rPr>
          <w:rFonts w:ascii="Times New Roman" w:hAnsi="Times New Roman" w:cs="Times New Roman"/>
          <w:b/>
          <w:sz w:val="24"/>
          <w:szCs w:val="24"/>
        </w:rPr>
        <w:t xml:space="preserve"> </w:t>
      </w:r>
      <w:r w:rsidR="003E19CE" w:rsidRPr="003E19CE">
        <w:rPr>
          <w:rFonts w:ascii="Times New Roman" w:hAnsi="Times New Roman" w:cs="Times New Roman"/>
          <w:sz w:val="24"/>
          <w:szCs w:val="24"/>
        </w:rPr>
        <w:t xml:space="preserve">The U.S. Census Bureau and the U.S. Bureau of Economic Analysis announced today that the goods and services deficit was $57.6 billion in February, up $0.9 billion from $56.7 billion in January, revised. </w:t>
      </w:r>
      <w:r w:rsidR="00B00512">
        <w:rPr>
          <w:rFonts w:ascii="Times New Roman" w:hAnsi="Times New Roman" w:cs="Times New Roman"/>
          <w:sz w:val="24"/>
          <w:szCs w:val="24"/>
        </w:rPr>
        <w:br/>
      </w:r>
    </w:p>
    <w:tbl>
      <w:tblPr>
        <w:tblStyle w:val="TableGrid"/>
        <w:tblW w:w="0" w:type="auto"/>
        <w:tblInd w:w="-185" w:type="dxa"/>
        <w:tblBorders>
          <w:insideH w:val="none" w:sz="0" w:space="0" w:color="auto"/>
          <w:insideV w:val="none" w:sz="0" w:space="0" w:color="auto"/>
        </w:tblBorders>
        <w:tblLayout w:type="fixed"/>
        <w:tblCellMar>
          <w:top w:w="144" w:type="dxa"/>
          <w:left w:w="144" w:type="dxa"/>
          <w:right w:w="144" w:type="dxa"/>
        </w:tblCellMar>
        <w:tblLook w:val="04A0" w:firstRow="1" w:lastRow="0" w:firstColumn="1" w:lastColumn="0" w:noHBand="0" w:noVBand="1"/>
      </w:tblPr>
      <w:tblGrid>
        <w:gridCol w:w="2007"/>
        <w:gridCol w:w="1958"/>
        <w:gridCol w:w="1001"/>
      </w:tblGrid>
      <w:tr w:rsidR="003D3D66" w:rsidRPr="00C47FEC" w14:paraId="20DCAF20" w14:textId="77777777" w:rsidTr="001140F2">
        <w:trPr>
          <w:trHeight w:val="602"/>
        </w:trPr>
        <w:tc>
          <w:tcPr>
            <w:tcW w:w="4966" w:type="dxa"/>
            <w:gridSpan w:val="3"/>
            <w:shd w:val="clear" w:color="auto" w:fill="DBE5F1" w:themeFill="accent1" w:themeFillTint="33"/>
            <w:vAlign w:val="center"/>
          </w:tcPr>
          <w:p w14:paraId="12F9576B" w14:textId="68A86101" w:rsidR="002C4C11" w:rsidRPr="002C4C11" w:rsidRDefault="002C4C11" w:rsidP="002C4C11">
            <w:pPr>
              <w:jc w:val="center"/>
              <w:rPr>
                <w:rFonts w:ascii="Arial" w:hAnsi="Arial" w:cs="Arial"/>
                <w:b/>
                <w:sz w:val="20"/>
              </w:rPr>
            </w:pPr>
            <w:r w:rsidRPr="002C4C11">
              <w:rPr>
                <w:rFonts w:ascii="Arial" w:hAnsi="Arial" w:cs="Arial"/>
                <w:b/>
                <w:noProof/>
                <w:sz w:val="20"/>
              </w:rPr>
              <w:drawing>
                <wp:anchor distT="0" distB="0" distL="114300" distR="114300" simplePos="0" relativeHeight="251660288" behindDoc="0" locked="0" layoutInCell="1" allowOverlap="1" wp14:anchorId="1C0867CB" wp14:editId="4D372E82">
                  <wp:simplePos x="0" y="0"/>
                  <wp:positionH relativeFrom="column">
                    <wp:posOffset>-44831</wp:posOffset>
                  </wp:positionH>
                  <wp:positionV relativeFrom="paragraph">
                    <wp:posOffset>-65736</wp:posOffset>
                  </wp:positionV>
                  <wp:extent cx="375401" cy="337225"/>
                  <wp:effectExtent l="0" t="0" r="5715" b="571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ss.png"/>
                          <pic:cNvPicPr/>
                        </pic:nvPicPr>
                        <pic:blipFill>
                          <a:blip r:embed="rId20">
                            <a:extLst>
                              <a:ext uri="{28A0092B-C50C-407E-A947-70E740481C1C}">
                                <a14:useLocalDpi xmlns:a14="http://schemas.microsoft.com/office/drawing/2010/main" val="0"/>
                              </a:ext>
                            </a:extLst>
                          </a:blip>
                          <a:stretch>
                            <a:fillRect/>
                          </a:stretch>
                        </pic:blipFill>
                        <pic:spPr>
                          <a:xfrm>
                            <a:off x="0" y="0"/>
                            <a:ext cx="375401" cy="337225"/>
                          </a:xfrm>
                          <a:prstGeom prst="rect">
                            <a:avLst/>
                          </a:prstGeom>
                        </pic:spPr>
                      </pic:pic>
                    </a:graphicData>
                  </a:graphic>
                  <wp14:sizeRelH relativeFrom="page">
                    <wp14:pctWidth>0</wp14:pctWidth>
                  </wp14:sizeRelH>
                  <wp14:sizeRelV relativeFrom="page">
                    <wp14:pctHeight>0</wp14:pctHeight>
                  </wp14:sizeRelV>
                </wp:anchor>
              </w:drawing>
            </w:r>
            <w:r w:rsidRPr="002C4C11">
              <w:rPr>
                <w:rFonts w:ascii="Arial" w:hAnsi="Arial" w:cs="Arial"/>
                <w:b/>
                <w:sz w:val="20"/>
              </w:rPr>
              <w:t xml:space="preserve">U.S. INTERNATIONAL TRADE IN </w:t>
            </w:r>
          </w:p>
          <w:p w14:paraId="585C0BE4" w14:textId="11E7DEB3" w:rsidR="003D3D66" w:rsidRPr="00622924" w:rsidRDefault="002C4C11" w:rsidP="002C4C11">
            <w:pPr>
              <w:jc w:val="center"/>
              <w:rPr>
                <w:rFonts w:cs="Times New Roman"/>
                <w:b/>
                <w:sz w:val="20"/>
              </w:rPr>
            </w:pPr>
            <w:r w:rsidRPr="002C4C11">
              <w:rPr>
                <w:rFonts w:ascii="Arial" w:hAnsi="Arial" w:cs="Arial"/>
                <w:b/>
                <w:sz w:val="20"/>
              </w:rPr>
              <w:t>GOODS AND SERVICES</w:t>
            </w:r>
            <w:r w:rsidR="002768BE">
              <w:rPr>
                <w:rFonts w:ascii="Arial" w:hAnsi="Arial" w:cs="Arial"/>
                <w:b/>
                <w:sz w:val="20"/>
              </w:rPr>
              <w:t xml:space="preserve"> DEF</w:t>
            </w:r>
            <w:r w:rsidR="001E65B9">
              <w:rPr>
                <w:rFonts w:ascii="Arial" w:hAnsi="Arial" w:cs="Arial"/>
                <w:b/>
                <w:sz w:val="20"/>
              </w:rPr>
              <w:t>I</w:t>
            </w:r>
            <w:r w:rsidR="002768BE">
              <w:rPr>
                <w:rFonts w:ascii="Arial" w:hAnsi="Arial" w:cs="Arial"/>
                <w:b/>
                <w:sz w:val="20"/>
              </w:rPr>
              <w:t>CIT</w:t>
            </w:r>
          </w:p>
          <w:p w14:paraId="7C2E8CCE" w14:textId="399B95A2" w:rsidR="00EC5947" w:rsidRPr="00C47FEC" w:rsidRDefault="00EC5947" w:rsidP="00EC5947">
            <w:pPr>
              <w:jc w:val="center"/>
              <w:rPr>
                <w:rFonts w:cs="Times New Roman"/>
                <w:b/>
              </w:rPr>
            </w:pPr>
          </w:p>
        </w:tc>
      </w:tr>
      <w:tr w:rsidR="003D3D66" w:rsidRPr="00CE14D6" w14:paraId="7C244430" w14:textId="77777777" w:rsidTr="001140F2">
        <w:trPr>
          <w:trHeight w:val="120"/>
        </w:trPr>
        <w:tc>
          <w:tcPr>
            <w:tcW w:w="2007" w:type="dxa"/>
            <w:vAlign w:val="center"/>
          </w:tcPr>
          <w:p w14:paraId="4D3734DE" w14:textId="0B6A9972" w:rsidR="003D3D66" w:rsidRPr="00622924" w:rsidRDefault="0092461B" w:rsidP="00326C99">
            <w:pPr>
              <w:rPr>
                <w:rFonts w:ascii="Arial" w:hAnsi="Arial" w:cs="Arial"/>
                <w:b/>
                <w:sz w:val="16"/>
                <w:szCs w:val="17"/>
              </w:rPr>
            </w:pPr>
            <w:r>
              <w:rPr>
                <w:rFonts w:ascii="Arial" w:hAnsi="Arial" w:cs="Arial"/>
                <w:b/>
                <w:sz w:val="16"/>
                <w:szCs w:val="17"/>
              </w:rPr>
              <w:t xml:space="preserve">            </w:t>
            </w:r>
            <w:r w:rsidR="005B1D76">
              <w:rPr>
                <w:rFonts w:ascii="Arial" w:hAnsi="Arial" w:cs="Arial"/>
                <w:b/>
                <w:sz w:val="16"/>
                <w:szCs w:val="17"/>
              </w:rPr>
              <w:t>Deficit:</w:t>
            </w:r>
          </w:p>
        </w:tc>
        <w:tc>
          <w:tcPr>
            <w:tcW w:w="1958" w:type="dxa"/>
            <w:vAlign w:val="center"/>
          </w:tcPr>
          <w:p w14:paraId="59F4051C" w14:textId="7FE262A3" w:rsidR="003D3D66" w:rsidRPr="00622924" w:rsidRDefault="002C4C11">
            <w:pPr>
              <w:rPr>
                <w:rFonts w:ascii="Arial" w:hAnsi="Arial" w:cs="Arial"/>
                <w:b/>
                <w:sz w:val="16"/>
                <w:szCs w:val="17"/>
              </w:rPr>
            </w:pPr>
            <w:r>
              <w:rPr>
                <w:rFonts w:ascii="Arial" w:hAnsi="Arial" w:cs="Arial"/>
                <w:b/>
                <w:sz w:val="16"/>
                <w:szCs w:val="17"/>
              </w:rPr>
              <w:t>$</w:t>
            </w:r>
            <w:r w:rsidR="003E19CE" w:rsidRPr="003E19CE">
              <w:rPr>
                <w:rFonts w:ascii="Arial" w:hAnsi="Arial" w:cs="Arial"/>
                <w:b/>
                <w:sz w:val="16"/>
                <w:szCs w:val="17"/>
              </w:rPr>
              <w:t>57.6</w:t>
            </w:r>
            <w:r>
              <w:rPr>
                <w:rFonts w:ascii="Arial" w:hAnsi="Arial" w:cs="Arial"/>
                <w:b/>
                <w:sz w:val="16"/>
                <w:szCs w:val="17"/>
              </w:rPr>
              <w:t xml:space="preserve"> Billion</w:t>
            </w:r>
          </w:p>
        </w:tc>
        <w:tc>
          <w:tcPr>
            <w:tcW w:w="1001" w:type="dxa"/>
          </w:tcPr>
          <w:p w14:paraId="0174E28F" w14:textId="40743884" w:rsidR="003D3D66" w:rsidRPr="00CE14D6" w:rsidRDefault="003E19CE">
            <w:pPr>
              <w:rPr>
                <w:rFonts w:cs="Times New Roman"/>
                <w:b/>
                <w:sz w:val="18"/>
                <w:szCs w:val="18"/>
              </w:rPr>
            </w:pPr>
            <w:r w:rsidRPr="003E19CE">
              <w:rPr>
                <w:rFonts w:ascii="Arial" w:hAnsi="Arial" w:cs="Arial"/>
                <w:b/>
                <w:sz w:val="16"/>
                <w:szCs w:val="17"/>
              </w:rPr>
              <w:t>+1.6</w:t>
            </w:r>
            <w:r w:rsidR="00161BE7" w:rsidRPr="003B01EC">
              <w:rPr>
                <w:rFonts w:ascii="Arial" w:eastAsiaTheme="minorEastAsia" w:hAnsi="Arial" w:cs="Arial"/>
                <w:b/>
                <w:bCs/>
                <w:color w:val="000000"/>
                <w:sz w:val="16"/>
                <w:szCs w:val="16"/>
              </w:rPr>
              <w:t>%°</w:t>
            </w:r>
          </w:p>
        </w:tc>
      </w:tr>
      <w:tr w:rsidR="005B1D76" w:rsidRPr="00CE14D6" w14:paraId="18AD0A90" w14:textId="77777777" w:rsidTr="001140F2">
        <w:trPr>
          <w:trHeight w:val="198"/>
        </w:trPr>
        <w:tc>
          <w:tcPr>
            <w:tcW w:w="2007" w:type="dxa"/>
            <w:vAlign w:val="center"/>
          </w:tcPr>
          <w:p w14:paraId="02356B51" w14:textId="50C1494A" w:rsidR="005B1D76" w:rsidRDefault="005B1D76" w:rsidP="00320862">
            <w:pPr>
              <w:jc w:val="center"/>
              <w:rPr>
                <w:rFonts w:ascii="Arial" w:hAnsi="Arial" w:cs="Arial"/>
                <w:b/>
                <w:sz w:val="16"/>
                <w:szCs w:val="17"/>
              </w:rPr>
            </w:pPr>
            <w:r>
              <w:rPr>
                <w:rFonts w:ascii="Arial" w:hAnsi="Arial" w:cs="Arial"/>
                <w:b/>
                <w:sz w:val="16"/>
                <w:szCs w:val="17"/>
              </w:rPr>
              <w:t>Exports:</w:t>
            </w:r>
          </w:p>
        </w:tc>
        <w:tc>
          <w:tcPr>
            <w:tcW w:w="1958" w:type="dxa"/>
            <w:vAlign w:val="center"/>
          </w:tcPr>
          <w:p w14:paraId="5662B500" w14:textId="4DAFD3FD" w:rsidR="005B1D76" w:rsidRPr="00086A28" w:rsidRDefault="005B1D76">
            <w:pPr>
              <w:rPr>
                <w:rFonts w:ascii="Arial" w:hAnsi="Arial" w:cs="Arial"/>
                <w:b/>
                <w:sz w:val="16"/>
                <w:szCs w:val="17"/>
              </w:rPr>
            </w:pPr>
            <w:r>
              <w:rPr>
                <w:rFonts w:ascii="Arial" w:hAnsi="Arial" w:cs="Arial"/>
                <w:b/>
                <w:sz w:val="16"/>
                <w:szCs w:val="17"/>
              </w:rPr>
              <w:t>$</w:t>
            </w:r>
            <w:r w:rsidR="003E19CE" w:rsidRPr="003E19CE">
              <w:rPr>
                <w:rFonts w:ascii="Arial" w:hAnsi="Arial" w:cs="Arial"/>
                <w:b/>
                <w:sz w:val="16"/>
                <w:szCs w:val="17"/>
              </w:rPr>
              <w:t>204.4</w:t>
            </w:r>
            <w:r>
              <w:rPr>
                <w:rFonts w:ascii="Arial" w:hAnsi="Arial" w:cs="Arial"/>
                <w:b/>
                <w:sz w:val="16"/>
                <w:szCs w:val="17"/>
              </w:rPr>
              <w:t xml:space="preserve"> Billion</w:t>
            </w:r>
          </w:p>
        </w:tc>
        <w:tc>
          <w:tcPr>
            <w:tcW w:w="1001" w:type="dxa"/>
          </w:tcPr>
          <w:p w14:paraId="23C6B225" w14:textId="7F24DD86" w:rsidR="005B1D76" w:rsidRPr="005B1D76" w:rsidRDefault="003E19CE">
            <w:pPr>
              <w:rPr>
                <w:rFonts w:ascii="Arial" w:hAnsi="Arial" w:cs="Arial"/>
                <w:sz w:val="16"/>
                <w:szCs w:val="18"/>
              </w:rPr>
            </w:pPr>
            <w:r w:rsidRPr="003E19CE">
              <w:rPr>
                <w:rFonts w:ascii="Arial" w:hAnsi="Arial" w:cs="Arial"/>
                <w:b/>
                <w:sz w:val="16"/>
                <w:szCs w:val="17"/>
              </w:rPr>
              <w:t>+1.7</w:t>
            </w:r>
            <w:r w:rsidR="003B38E9" w:rsidRPr="003B01EC">
              <w:rPr>
                <w:rFonts w:ascii="Arial" w:eastAsiaTheme="minorEastAsia" w:hAnsi="Arial" w:cs="Arial"/>
                <w:b/>
                <w:bCs/>
                <w:color w:val="000000"/>
                <w:sz w:val="16"/>
                <w:szCs w:val="16"/>
              </w:rPr>
              <w:t>%°</w:t>
            </w:r>
          </w:p>
        </w:tc>
      </w:tr>
      <w:tr w:rsidR="003D3D66" w:rsidRPr="00CE14D6" w14:paraId="59896521" w14:textId="77777777" w:rsidTr="001140F2">
        <w:trPr>
          <w:trHeight w:val="198"/>
        </w:trPr>
        <w:tc>
          <w:tcPr>
            <w:tcW w:w="2007" w:type="dxa"/>
            <w:vAlign w:val="center"/>
          </w:tcPr>
          <w:p w14:paraId="1658E724" w14:textId="01B9D231" w:rsidR="003D3D66" w:rsidRPr="00622924" w:rsidRDefault="005B1D76" w:rsidP="00320862">
            <w:pPr>
              <w:jc w:val="center"/>
              <w:rPr>
                <w:rFonts w:ascii="Arial" w:hAnsi="Arial" w:cs="Arial"/>
                <w:b/>
                <w:sz w:val="16"/>
                <w:szCs w:val="17"/>
              </w:rPr>
            </w:pPr>
            <w:r>
              <w:rPr>
                <w:rFonts w:ascii="Arial" w:hAnsi="Arial" w:cs="Arial"/>
                <w:b/>
                <w:sz w:val="16"/>
                <w:szCs w:val="17"/>
              </w:rPr>
              <w:t>Imports:</w:t>
            </w:r>
          </w:p>
        </w:tc>
        <w:tc>
          <w:tcPr>
            <w:tcW w:w="1958" w:type="dxa"/>
            <w:vAlign w:val="center"/>
          </w:tcPr>
          <w:p w14:paraId="6BA81F20" w14:textId="5DF02B9C" w:rsidR="003D3D66" w:rsidRPr="00622924" w:rsidRDefault="00086A28">
            <w:pPr>
              <w:rPr>
                <w:rFonts w:ascii="Arial" w:hAnsi="Arial" w:cs="Arial"/>
                <w:b/>
                <w:sz w:val="16"/>
                <w:szCs w:val="17"/>
              </w:rPr>
            </w:pPr>
            <w:r w:rsidRPr="00086A28">
              <w:rPr>
                <w:rFonts w:ascii="Arial" w:hAnsi="Arial" w:cs="Arial"/>
                <w:b/>
                <w:sz w:val="16"/>
                <w:szCs w:val="17"/>
              </w:rPr>
              <w:t>$</w:t>
            </w:r>
            <w:r w:rsidR="003E19CE" w:rsidRPr="003E19CE">
              <w:rPr>
                <w:rFonts w:ascii="Arial" w:hAnsi="Arial" w:cs="Arial"/>
                <w:b/>
                <w:sz w:val="16"/>
                <w:szCs w:val="17"/>
              </w:rPr>
              <w:t>262.0</w:t>
            </w:r>
            <w:r w:rsidRPr="00086A28">
              <w:rPr>
                <w:rFonts w:ascii="Arial" w:hAnsi="Arial" w:cs="Arial"/>
                <w:b/>
                <w:sz w:val="16"/>
                <w:szCs w:val="17"/>
              </w:rPr>
              <w:t xml:space="preserve"> Billion</w:t>
            </w:r>
          </w:p>
        </w:tc>
        <w:tc>
          <w:tcPr>
            <w:tcW w:w="1001" w:type="dxa"/>
          </w:tcPr>
          <w:p w14:paraId="2BBF00AB" w14:textId="74B4F8E9" w:rsidR="003D3D66" w:rsidRPr="005B1D76" w:rsidRDefault="003E19CE">
            <w:pPr>
              <w:rPr>
                <w:rFonts w:ascii="Arial" w:hAnsi="Arial" w:cs="Arial"/>
                <w:b/>
                <w:sz w:val="16"/>
                <w:szCs w:val="16"/>
              </w:rPr>
            </w:pPr>
            <w:r w:rsidRPr="003E19CE">
              <w:rPr>
                <w:rFonts w:ascii="Arial" w:hAnsi="Arial" w:cs="Arial"/>
                <w:b/>
                <w:sz w:val="16"/>
                <w:szCs w:val="17"/>
              </w:rPr>
              <w:t>+1.7</w:t>
            </w:r>
            <w:r w:rsidR="00E84213">
              <w:rPr>
                <w:rFonts w:ascii="Arial" w:hAnsi="Arial" w:cs="Arial"/>
                <w:b/>
                <w:sz w:val="16"/>
                <w:szCs w:val="16"/>
              </w:rPr>
              <w:t>%</w:t>
            </w:r>
            <w:r w:rsidR="00E84213" w:rsidRPr="003B01EC">
              <w:rPr>
                <w:rFonts w:ascii="Arial" w:eastAsiaTheme="minorEastAsia" w:hAnsi="Arial" w:cs="Arial"/>
                <w:b/>
                <w:bCs/>
                <w:color w:val="000000"/>
                <w:sz w:val="16"/>
                <w:szCs w:val="16"/>
              </w:rPr>
              <w:t>°</w:t>
            </w:r>
          </w:p>
        </w:tc>
      </w:tr>
      <w:tr w:rsidR="003D3D66" w:rsidRPr="00CE14D6" w14:paraId="20B8F9F5" w14:textId="77777777" w:rsidTr="001140F2">
        <w:trPr>
          <w:trHeight w:val="604"/>
        </w:trPr>
        <w:tc>
          <w:tcPr>
            <w:tcW w:w="4966" w:type="dxa"/>
            <w:gridSpan w:val="3"/>
            <w:vAlign w:val="center"/>
          </w:tcPr>
          <w:p w14:paraId="040B4888" w14:textId="3866550F" w:rsidR="00622924" w:rsidRPr="00622924" w:rsidRDefault="00622924" w:rsidP="00622924">
            <w:pPr>
              <w:jc w:val="center"/>
              <w:rPr>
                <w:rFonts w:ascii="Arial" w:hAnsi="Arial" w:cs="Arial"/>
                <w:sz w:val="12"/>
                <w:szCs w:val="14"/>
              </w:rPr>
            </w:pPr>
            <w:r w:rsidRPr="00622924">
              <w:rPr>
                <w:rFonts w:ascii="Arial" w:hAnsi="Arial" w:cs="Arial"/>
                <w:b/>
                <w:sz w:val="16"/>
                <w:szCs w:val="18"/>
              </w:rPr>
              <w:t xml:space="preserve">Next release: </w:t>
            </w:r>
            <w:r w:rsidR="003E19CE" w:rsidRPr="003E19CE">
              <w:rPr>
                <w:rFonts w:ascii="Arial" w:hAnsi="Arial" w:cs="Arial"/>
                <w:b/>
                <w:sz w:val="16"/>
                <w:szCs w:val="18"/>
              </w:rPr>
              <w:t>May 3, 2018</w:t>
            </w:r>
          </w:p>
          <w:p w14:paraId="3FEA3B62" w14:textId="77777777" w:rsidR="00622924" w:rsidRDefault="00622924" w:rsidP="00622924">
            <w:pPr>
              <w:jc w:val="center"/>
              <w:rPr>
                <w:rFonts w:ascii="Arial" w:hAnsi="Arial" w:cs="Arial"/>
                <w:sz w:val="14"/>
                <w:szCs w:val="14"/>
              </w:rPr>
            </w:pPr>
          </w:p>
          <w:p w14:paraId="16CF8259" w14:textId="77777777" w:rsidR="00161BE7" w:rsidRDefault="00622924" w:rsidP="00622924">
            <w:pPr>
              <w:jc w:val="center"/>
              <w:rPr>
                <w:rFonts w:ascii="Arial" w:eastAsiaTheme="minorEastAsia" w:hAnsi="Arial" w:cs="Arial"/>
                <w:color w:val="000000"/>
                <w:sz w:val="14"/>
                <w:szCs w:val="12"/>
              </w:rPr>
            </w:pPr>
            <w:r w:rsidRPr="00622924">
              <w:rPr>
                <w:rFonts w:ascii="Arial" w:hAnsi="Arial" w:cs="Arial"/>
                <w:sz w:val="14"/>
                <w:szCs w:val="14"/>
              </w:rPr>
              <w:t xml:space="preserve"> </w:t>
            </w:r>
            <w:bookmarkStart w:id="0" w:name="footnote2"/>
            <w:r w:rsidR="002C4C11" w:rsidRPr="002C4C11">
              <w:rPr>
                <w:rFonts w:ascii="Arial" w:hAnsi="Arial" w:cs="Arial"/>
                <w:sz w:val="14"/>
                <w:szCs w:val="14"/>
              </w:rPr>
              <w:t>(°)</w:t>
            </w:r>
            <w:bookmarkEnd w:id="0"/>
            <w:r w:rsidR="00161BE7" w:rsidRPr="003B01EC">
              <w:rPr>
                <w:rFonts w:ascii="Arial" w:eastAsiaTheme="minorEastAsia" w:hAnsi="Arial" w:cs="Arial"/>
                <w:color w:val="000000"/>
                <w:sz w:val="14"/>
                <w:szCs w:val="12"/>
              </w:rPr>
              <w:t xml:space="preserve"> Statistical significance is not applicable or not measurable.</w:t>
            </w:r>
          </w:p>
          <w:p w14:paraId="5F744A14" w14:textId="31C842E9" w:rsidR="00622924" w:rsidRPr="00622924" w:rsidRDefault="006E5A73" w:rsidP="00622924">
            <w:pPr>
              <w:jc w:val="center"/>
              <w:rPr>
                <w:rFonts w:cs="Times New Roman"/>
                <w:sz w:val="18"/>
                <w:szCs w:val="18"/>
              </w:rPr>
            </w:pPr>
            <w:r>
              <w:rPr>
                <w:rFonts w:ascii="Arial" w:hAnsi="Arial" w:cs="Arial"/>
                <w:sz w:val="14"/>
                <w:szCs w:val="14"/>
              </w:rPr>
              <w:t>Data adjusted for seasonality but not price changes</w:t>
            </w:r>
          </w:p>
          <w:p w14:paraId="7607B508" w14:textId="2E3B5607" w:rsidR="003D3D66" w:rsidRPr="00622924" w:rsidRDefault="00E53A3F" w:rsidP="00645A11">
            <w:pPr>
              <w:jc w:val="center"/>
              <w:rPr>
                <w:rFonts w:ascii="Arial" w:hAnsi="Arial" w:cs="Arial"/>
                <w:sz w:val="14"/>
                <w:szCs w:val="14"/>
              </w:rPr>
            </w:pPr>
            <w:r w:rsidRPr="00622924">
              <w:rPr>
                <w:rFonts w:ascii="Arial" w:hAnsi="Arial" w:cs="Arial"/>
                <w:sz w:val="14"/>
                <w:szCs w:val="14"/>
              </w:rPr>
              <w:t>Source: U.S. Census Bureau,</w:t>
            </w:r>
            <w:r w:rsidR="00F2498F">
              <w:rPr>
                <w:rFonts w:ascii="Arial" w:hAnsi="Arial" w:cs="Arial"/>
                <w:sz w:val="14"/>
                <w:szCs w:val="14"/>
              </w:rPr>
              <w:t xml:space="preserve"> U.S. Bureau of Economic Analysis;</w:t>
            </w:r>
            <w:r w:rsidRPr="00622924">
              <w:rPr>
                <w:rFonts w:ascii="Arial" w:hAnsi="Arial" w:cs="Arial"/>
                <w:sz w:val="14"/>
                <w:szCs w:val="14"/>
              </w:rPr>
              <w:t xml:space="preserve"> </w:t>
            </w:r>
            <w:r w:rsidR="002C4C11">
              <w:rPr>
                <w:rFonts w:ascii="Arial" w:hAnsi="Arial" w:cs="Arial"/>
                <w:sz w:val="14"/>
                <w:szCs w:val="14"/>
              </w:rPr>
              <w:t>U.S. International Trade in Goods and Services</w:t>
            </w:r>
            <w:r w:rsidR="0024067F">
              <w:rPr>
                <w:rFonts w:ascii="Arial" w:hAnsi="Arial" w:cs="Arial"/>
                <w:sz w:val="14"/>
                <w:szCs w:val="14"/>
              </w:rPr>
              <w:t>,</w:t>
            </w:r>
            <w:r w:rsidR="00605675">
              <w:rPr>
                <w:rFonts w:ascii="Arial" w:hAnsi="Arial" w:cs="Arial"/>
                <w:sz w:val="14"/>
                <w:szCs w:val="14"/>
              </w:rPr>
              <w:t xml:space="preserve"> </w:t>
            </w:r>
            <w:r w:rsidR="00645A11">
              <w:rPr>
                <w:rFonts w:ascii="Arial" w:hAnsi="Arial" w:cs="Arial"/>
                <w:bCs/>
                <w:sz w:val="14"/>
                <w:szCs w:val="14"/>
              </w:rPr>
              <w:t>April 5</w:t>
            </w:r>
            <w:r w:rsidR="003E19CE" w:rsidRPr="003E19CE">
              <w:rPr>
                <w:rFonts w:ascii="Arial" w:hAnsi="Arial" w:cs="Arial"/>
                <w:bCs/>
                <w:sz w:val="14"/>
                <w:szCs w:val="14"/>
              </w:rPr>
              <w:t>, 2018</w:t>
            </w:r>
            <w:r w:rsidR="00F2498F">
              <w:rPr>
                <w:rFonts w:ascii="Arial" w:hAnsi="Arial" w:cs="Arial"/>
                <w:sz w:val="14"/>
                <w:szCs w:val="14"/>
              </w:rPr>
              <w:t>.</w:t>
            </w:r>
          </w:p>
        </w:tc>
      </w:tr>
    </w:tbl>
    <w:p w14:paraId="2508820F" w14:textId="31AF5876" w:rsidR="00F65176" w:rsidRPr="005B61C2" w:rsidRDefault="003D3D66" w:rsidP="00D23876">
      <w:pPr>
        <w:tabs>
          <w:tab w:val="left" w:pos="-360"/>
        </w:tabs>
        <w:spacing w:after="0"/>
        <w:ind w:left="-360"/>
        <w:rPr>
          <w:rFonts w:ascii="Times New Roman" w:hAnsi="Times New Roman" w:cs="Times New Roman"/>
          <w:b/>
          <w:sz w:val="24"/>
          <w:szCs w:val="24"/>
        </w:rPr>
      </w:pPr>
      <w:r>
        <w:rPr>
          <w:rFonts w:ascii="Times New Roman" w:hAnsi="Times New Roman" w:cs="Times New Roman"/>
          <w:noProof/>
          <w:sz w:val="24"/>
          <w:szCs w:val="24"/>
        </w:rPr>
        <w:br/>
      </w:r>
      <w:r w:rsidR="00086A28" w:rsidRPr="00086A28">
        <w:rPr>
          <w:rFonts w:ascii="Times New Roman" w:hAnsi="Times New Roman" w:cs="Times New Roman"/>
          <w:b/>
          <w:sz w:val="24"/>
          <w:szCs w:val="24"/>
        </w:rPr>
        <w:t>Exports, Imports</w:t>
      </w:r>
      <w:r w:rsidR="00BC0977">
        <w:rPr>
          <w:rFonts w:ascii="Times New Roman" w:hAnsi="Times New Roman" w:cs="Times New Roman"/>
          <w:b/>
          <w:sz w:val="24"/>
          <w:szCs w:val="24"/>
        </w:rPr>
        <w:t>,</w:t>
      </w:r>
      <w:r w:rsidR="00881017">
        <w:rPr>
          <w:rFonts w:ascii="Times New Roman" w:hAnsi="Times New Roman" w:cs="Times New Roman"/>
          <w:b/>
          <w:sz w:val="24"/>
          <w:szCs w:val="24"/>
        </w:rPr>
        <w:t xml:space="preserve"> and Balance</w:t>
      </w:r>
      <w:r w:rsidR="00086A28" w:rsidRPr="00086A28">
        <w:rPr>
          <w:rFonts w:ascii="Times New Roman" w:hAnsi="Times New Roman" w:cs="Times New Roman"/>
          <w:b/>
          <w:sz w:val="24"/>
          <w:szCs w:val="24"/>
        </w:rPr>
        <w:t xml:space="preserve"> (Exhibit 1)</w:t>
      </w:r>
    </w:p>
    <w:p w14:paraId="5272528A" w14:textId="60BD2D00" w:rsidR="00F65176" w:rsidRDefault="003E19CE">
      <w:pPr>
        <w:spacing w:after="120"/>
        <w:ind w:left="-360"/>
        <w:rPr>
          <w:rFonts w:ascii="Times New Roman" w:hAnsi="Times New Roman" w:cs="Times New Roman"/>
          <w:sz w:val="24"/>
          <w:szCs w:val="24"/>
        </w:rPr>
      </w:pPr>
      <w:r w:rsidRPr="003E19CE">
        <w:rPr>
          <w:rFonts w:ascii="Times New Roman" w:hAnsi="Times New Roman" w:cs="Times New Roman"/>
          <w:sz w:val="24"/>
          <w:szCs w:val="24"/>
        </w:rPr>
        <w:t>February exports were $204.4 billion, $3.5 billion more than January exports. February imports were $262.0 billion, $4.4 billion more than January imports.</w:t>
      </w:r>
    </w:p>
    <w:p w14:paraId="37F5E517" w14:textId="5B900913" w:rsidR="00D578AE" w:rsidRDefault="003E19CE" w:rsidP="00763110">
      <w:pPr>
        <w:spacing w:after="120"/>
        <w:ind w:left="-360"/>
        <w:rPr>
          <w:rFonts w:ascii="Times New Roman" w:hAnsi="Times New Roman" w:cs="Times New Roman"/>
          <w:sz w:val="24"/>
          <w:szCs w:val="24"/>
        </w:rPr>
      </w:pPr>
      <w:r w:rsidRPr="003E19CE">
        <w:rPr>
          <w:rFonts w:ascii="Times New Roman" w:hAnsi="Times New Roman" w:cs="Times New Roman"/>
          <w:sz w:val="24"/>
          <w:szCs w:val="24"/>
        </w:rPr>
        <w:t>The February increase in the goods and services deficit reflected an increase in the goods deficit of $0.3 billion to $77.0 billion and a decrease in the services surplus of $0.6 billion to $19.4 billion.</w:t>
      </w:r>
    </w:p>
    <w:p w14:paraId="3A41391D" w14:textId="3E49DD1F" w:rsidR="00D578AE" w:rsidRDefault="003E19CE" w:rsidP="00763110">
      <w:pPr>
        <w:spacing w:after="120"/>
        <w:ind w:left="-360"/>
        <w:rPr>
          <w:rFonts w:ascii="Times New Roman" w:hAnsi="Times New Roman" w:cs="Times New Roman"/>
          <w:sz w:val="24"/>
          <w:szCs w:val="24"/>
        </w:rPr>
      </w:pPr>
      <w:r w:rsidRPr="003E19CE">
        <w:rPr>
          <w:rFonts w:ascii="Times New Roman" w:hAnsi="Times New Roman" w:cs="Times New Roman"/>
          <w:sz w:val="24"/>
          <w:szCs w:val="24"/>
        </w:rPr>
        <w:t xml:space="preserve">Year-to-date, the goods and services deficit increased $21.1 billion, or 22.7 percent, from the same period in 2017. Exports increased $22.4 billion or 5.9 percent. Imports increased $43.6 billion </w:t>
      </w:r>
      <w:r w:rsidRPr="007B1E18">
        <w:rPr>
          <w:rFonts w:ascii="Times New Roman" w:hAnsi="Times New Roman" w:cs="Times New Roman"/>
          <w:sz w:val="24"/>
          <w:szCs w:val="24"/>
        </w:rPr>
        <w:t>or 9.1 percent.</w:t>
      </w:r>
    </w:p>
    <w:p w14:paraId="407D8A05" w14:textId="14925FF8" w:rsidR="00F65176" w:rsidRPr="005B61C2" w:rsidRDefault="00086A28" w:rsidP="00A37583">
      <w:pPr>
        <w:spacing w:after="0"/>
        <w:ind w:left="-360"/>
        <w:rPr>
          <w:rFonts w:ascii="Times New Roman" w:hAnsi="Times New Roman" w:cs="Times New Roman"/>
          <w:b/>
          <w:sz w:val="24"/>
          <w:szCs w:val="24"/>
        </w:rPr>
      </w:pPr>
      <w:r w:rsidRPr="00086A28">
        <w:rPr>
          <w:rFonts w:ascii="Times New Roman" w:hAnsi="Times New Roman" w:cs="Times New Roman"/>
          <w:b/>
          <w:sz w:val="24"/>
          <w:szCs w:val="24"/>
        </w:rPr>
        <w:t>Three-Month Moving Averages (Exhibit 2)</w:t>
      </w:r>
    </w:p>
    <w:p w14:paraId="26EA5ECF" w14:textId="6FFE2ADE" w:rsidR="00763110" w:rsidRDefault="003E19CE" w:rsidP="00D6567F">
      <w:pPr>
        <w:spacing w:after="0"/>
        <w:ind w:left="-360"/>
      </w:pPr>
      <w:r w:rsidRPr="003E19CE">
        <w:rPr>
          <w:rFonts w:ascii="Times New Roman" w:hAnsi="Times New Roman" w:cs="Times New Roman"/>
          <w:bCs/>
          <w:sz w:val="24"/>
          <w:szCs w:val="24"/>
        </w:rPr>
        <w:t>The average goods and services deficit increased $2.2 billion to $56.1 billion for the three months ending in February.</w:t>
      </w:r>
    </w:p>
    <w:p w14:paraId="53D7123D" w14:textId="35397374" w:rsidR="00763110" w:rsidRDefault="003E19CE" w:rsidP="00AE5B46">
      <w:pPr>
        <w:pStyle w:val="ListParagraph"/>
        <w:numPr>
          <w:ilvl w:val="0"/>
          <w:numId w:val="6"/>
        </w:numPr>
        <w:spacing w:after="0"/>
        <w:contextualSpacing w:val="0"/>
        <w:rPr>
          <w:rFonts w:ascii="Times New Roman" w:hAnsi="Times New Roman" w:cs="Times New Roman"/>
          <w:sz w:val="24"/>
          <w:szCs w:val="24"/>
        </w:rPr>
      </w:pPr>
      <w:r w:rsidRPr="003E19CE">
        <w:rPr>
          <w:rFonts w:ascii="Times New Roman" w:hAnsi="Times New Roman" w:cs="Times New Roman"/>
          <w:sz w:val="24"/>
          <w:szCs w:val="24"/>
        </w:rPr>
        <w:t>Average exports increased $1.4 billion to $203.0 billion in February.</w:t>
      </w:r>
    </w:p>
    <w:p w14:paraId="1867190D" w14:textId="4849BE12" w:rsidR="00456B86" w:rsidRPr="006A6A59" w:rsidRDefault="003E19CE" w:rsidP="00881017">
      <w:pPr>
        <w:pStyle w:val="ListParagraph"/>
        <w:numPr>
          <w:ilvl w:val="0"/>
          <w:numId w:val="6"/>
        </w:numPr>
        <w:spacing w:after="120"/>
        <w:contextualSpacing w:val="0"/>
        <w:rPr>
          <w:rFonts w:ascii="Times New Roman" w:hAnsi="Times New Roman" w:cs="Times New Roman"/>
          <w:sz w:val="24"/>
          <w:szCs w:val="24"/>
        </w:rPr>
      </w:pPr>
      <w:r w:rsidRPr="003E19CE">
        <w:rPr>
          <w:rFonts w:ascii="Times New Roman" w:hAnsi="Times New Roman" w:cs="Times New Roman"/>
          <w:sz w:val="24"/>
          <w:szCs w:val="24"/>
        </w:rPr>
        <w:t>Average imports increased $3.6 billion to $259.1 billion in February.</w:t>
      </w:r>
    </w:p>
    <w:p w14:paraId="0A86BF2A" w14:textId="20989893" w:rsidR="00397D96" w:rsidRDefault="003E19CE" w:rsidP="00D6567F">
      <w:pPr>
        <w:spacing w:after="0"/>
        <w:ind w:left="-360"/>
        <w:rPr>
          <w:rFonts w:ascii="Times New Roman" w:hAnsi="Times New Roman" w:cs="Times New Roman"/>
          <w:sz w:val="24"/>
          <w:szCs w:val="24"/>
        </w:rPr>
      </w:pPr>
      <w:r w:rsidRPr="003E19CE">
        <w:rPr>
          <w:rFonts w:ascii="Times New Roman" w:hAnsi="Times New Roman" w:cs="Times New Roman"/>
          <w:sz w:val="24"/>
          <w:szCs w:val="24"/>
        </w:rPr>
        <w:t>Year-over-year, the average goods and services deficit increased $10.1 billion from the three months ending in February 2017.</w:t>
      </w:r>
    </w:p>
    <w:p w14:paraId="17CA7CEB" w14:textId="1BF672EE" w:rsidR="008F3EB8" w:rsidRDefault="003E19CE" w:rsidP="00881017">
      <w:pPr>
        <w:pStyle w:val="ListParagraph"/>
        <w:numPr>
          <w:ilvl w:val="0"/>
          <w:numId w:val="7"/>
        </w:numPr>
        <w:spacing w:after="0"/>
        <w:contextualSpacing w:val="0"/>
        <w:rPr>
          <w:rFonts w:ascii="Times New Roman" w:hAnsi="Times New Roman" w:cs="Times New Roman"/>
          <w:sz w:val="24"/>
          <w:szCs w:val="24"/>
        </w:rPr>
      </w:pPr>
      <w:r w:rsidRPr="003E19CE">
        <w:rPr>
          <w:rFonts w:ascii="Times New Roman" w:hAnsi="Times New Roman" w:cs="Times New Roman"/>
          <w:sz w:val="24"/>
          <w:szCs w:val="24"/>
        </w:rPr>
        <w:lastRenderedPageBreak/>
        <w:t>Average exports increased $12.2 billion from February 2017.</w:t>
      </w:r>
    </w:p>
    <w:p w14:paraId="2B24AA6C" w14:textId="766C1551" w:rsidR="00F65176" w:rsidRPr="00397D96" w:rsidRDefault="003E19CE" w:rsidP="00881017">
      <w:pPr>
        <w:pStyle w:val="ListParagraph"/>
        <w:numPr>
          <w:ilvl w:val="0"/>
          <w:numId w:val="7"/>
        </w:numPr>
        <w:spacing w:after="120"/>
        <w:contextualSpacing w:val="0"/>
        <w:rPr>
          <w:rFonts w:ascii="Times New Roman" w:hAnsi="Times New Roman" w:cs="Times New Roman"/>
          <w:sz w:val="24"/>
          <w:szCs w:val="24"/>
        </w:rPr>
      </w:pPr>
      <w:r w:rsidRPr="003E19CE">
        <w:rPr>
          <w:rFonts w:ascii="Times New Roman" w:hAnsi="Times New Roman" w:cs="Times New Roman"/>
          <w:sz w:val="24"/>
          <w:szCs w:val="24"/>
        </w:rPr>
        <w:t>Average imports increased $22.3 billion from February 2017.</w:t>
      </w:r>
    </w:p>
    <w:p w14:paraId="7568173E" w14:textId="3DF950B8" w:rsidR="00F65176" w:rsidRPr="005B61C2" w:rsidRDefault="00593E4B" w:rsidP="005B61C2">
      <w:pPr>
        <w:spacing w:after="0"/>
        <w:ind w:left="-360"/>
        <w:rPr>
          <w:rFonts w:ascii="Times New Roman" w:hAnsi="Times New Roman" w:cs="Times New Roman"/>
          <w:b/>
          <w:sz w:val="24"/>
          <w:szCs w:val="24"/>
        </w:rPr>
      </w:pPr>
      <w:r w:rsidRPr="00593E4B">
        <w:rPr>
          <w:rFonts w:ascii="Times New Roman" w:hAnsi="Times New Roman" w:cs="Times New Roman"/>
          <w:b/>
          <w:sz w:val="24"/>
          <w:szCs w:val="24"/>
        </w:rPr>
        <w:t>Exports (Exhibits 3, 6, and 7)</w:t>
      </w:r>
    </w:p>
    <w:p w14:paraId="004B8453" w14:textId="79199820" w:rsidR="00490E68" w:rsidRDefault="003E19CE" w:rsidP="00B326C2">
      <w:pPr>
        <w:spacing w:after="120"/>
        <w:ind w:left="-360"/>
        <w:rPr>
          <w:rFonts w:ascii="Times New Roman" w:hAnsi="Times New Roman" w:cs="Times New Roman"/>
          <w:noProof/>
          <w:sz w:val="24"/>
          <w:szCs w:val="24"/>
        </w:rPr>
      </w:pPr>
      <w:r w:rsidRPr="003E19CE">
        <w:rPr>
          <w:rFonts w:ascii="Times New Roman" w:hAnsi="Times New Roman" w:cs="Times New Roman"/>
          <w:noProof/>
          <w:sz w:val="24"/>
          <w:szCs w:val="24"/>
        </w:rPr>
        <w:t>Exports of goods increased $3.0 billion to $137.2 billion in February.</w:t>
      </w:r>
    </w:p>
    <w:p w14:paraId="493717D0" w14:textId="22F14A10" w:rsidR="00C948C6" w:rsidRDefault="003E19CE" w:rsidP="006B109E">
      <w:pPr>
        <w:spacing w:after="120"/>
        <w:ind w:left="-360" w:firstLine="360"/>
        <w:rPr>
          <w:rFonts w:ascii="Times New Roman" w:hAnsi="Times New Roman" w:cs="Times New Roman"/>
          <w:noProof/>
          <w:sz w:val="24"/>
          <w:szCs w:val="24"/>
        </w:rPr>
      </w:pPr>
      <w:r w:rsidRPr="003E19CE">
        <w:rPr>
          <w:rFonts w:ascii="Times New Roman" w:hAnsi="Times New Roman" w:cs="Times New Roman"/>
          <w:noProof/>
          <w:sz w:val="24"/>
          <w:szCs w:val="24"/>
        </w:rPr>
        <w:t>Exports of goods on a Census basis increased $3.1 billion.</w:t>
      </w:r>
    </w:p>
    <w:p w14:paraId="7361D1DB" w14:textId="4DE3AC55" w:rsidR="00A52F39" w:rsidRPr="00A52F39" w:rsidRDefault="00265E75" w:rsidP="00265E75">
      <w:pPr>
        <w:numPr>
          <w:ilvl w:val="1"/>
          <w:numId w:val="3"/>
        </w:numPr>
        <w:spacing w:after="0"/>
        <w:rPr>
          <w:rFonts w:ascii="Times New Roman" w:hAnsi="Times New Roman" w:cs="Times New Roman"/>
          <w:noProof/>
          <w:sz w:val="24"/>
          <w:szCs w:val="24"/>
        </w:rPr>
      </w:pPr>
      <w:r w:rsidRPr="00265E75">
        <w:rPr>
          <w:rFonts w:ascii="Times New Roman" w:hAnsi="Times New Roman" w:cs="Times New Roman"/>
          <w:noProof/>
          <w:sz w:val="24"/>
          <w:szCs w:val="24"/>
        </w:rPr>
        <w:t>Industrial supplies and materials increased $2.0 billion.</w:t>
      </w:r>
    </w:p>
    <w:p w14:paraId="35B0E3D0" w14:textId="77777777" w:rsidR="00265E75" w:rsidRDefault="00265E75" w:rsidP="00265E75">
      <w:pPr>
        <w:numPr>
          <w:ilvl w:val="2"/>
          <w:numId w:val="3"/>
        </w:numPr>
        <w:spacing w:after="0"/>
        <w:rPr>
          <w:rFonts w:ascii="Times New Roman" w:hAnsi="Times New Roman" w:cs="Times New Roman"/>
          <w:noProof/>
          <w:sz w:val="24"/>
          <w:szCs w:val="24"/>
        </w:rPr>
      </w:pPr>
      <w:r w:rsidRPr="00265E75">
        <w:rPr>
          <w:rFonts w:ascii="Times New Roman" w:hAnsi="Times New Roman" w:cs="Times New Roman"/>
          <w:noProof/>
          <w:sz w:val="24"/>
          <w:szCs w:val="24"/>
        </w:rPr>
        <w:t>Nonmonetary gold increased $0.6 billion.</w:t>
      </w:r>
    </w:p>
    <w:p w14:paraId="1CC7AA52" w14:textId="537AE87C" w:rsidR="00265E75" w:rsidRDefault="00265E75" w:rsidP="00265E75">
      <w:pPr>
        <w:numPr>
          <w:ilvl w:val="2"/>
          <w:numId w:val="3"/>
        </w:numPr>
        <w:spacing w:after="0"/>
        <w:rPr>
          <w:rFonts w:ascii="Times New Roman" w:hAnsi="Times New Roman" w:cs="Times New Roman"/>
          <w:noProof/>
          <w:sz w:val="24"/>
          <w:szCs w:val="24"/>
        </w:rPr>
      </w:pPr>
      <w:r w:rsidRPr="00265E75">
        <w:rPr>
          <w:rFonts w:ascii="Times New Roman" w:hAnsi="Times New Roman" w:cs="Times New Roman"/>
          <w:noProof/>
          <w:sz w:val="24"/>
          <w:szCs w:val="24"/>
        </w:rPr>
        <w:t>Crude oil increased $0.3 billion.</w:t>
      </w:r>
    </w:p>
    <w:p w14:paraId="2D35CEB7" w14:textId="419CA831" w:rsidR="00265E75" w:rsidRDefault="00B848DD" w:rsidP="00265E75">
      <w:pPr>
        <w:numPr>
          <w:ilvl w:val="2"/>
          <w:numId w:val="3"/>
        </w:numPr>
        <w:spacing w:after="0"/>
        <w:rPr>
          <w:rFonts w:ascii="Times New Roman" w:hAnsi="Times New Roman" w:cs="Times New Roman"/>
          <w:noProof/>
          <w:sz w:val="24"/>
          <w:szCs w:val="24"/>
        </w:rPr>
      </w:pPr>
      <w:r>
        <w:rPr>
          <w:rFonts w:ascii="Times New Roman" w:hAnsi="Times New Roman" w:cs="Times New Roman"/>
          <w:noProof/>
          <w:sz w:val="24"/>
          <w:szCs w:val="24"/>
        </w:rPr>
        <w:t>Natural gas</w:t>
      </w:r>
      <w:r w:rsidR="00265E75" w:rsidRPr="00265E75">
        <w:rPr>
          <w:rFonts w:ascii="Times New Roman" w:hAnsi="Times New Roman" w:cs="Times New Roman"/>
          <w:noProof/>
          <w:sz w:val="24"/>
          <w:szCs w:val="24"/>
        </w:rPr>
        <w:t xml:space="preserve"> increased $0.3 billion.</w:t>
      </w:r>
    </w:p>
    <w:p w14:paraId="0795E709" w14:textId="77777777" w:rsidR="00265E75" w:rsidRDefault="00265E75" w:rsidP="00265E75">
      <w:pPr>
        <w:pStyle w:val="ListParagraph"/>
        <w:numPr>
          <w:ilvl w:val="1"/>
          <w:numId w:val="3"/>
        </w:numPr>
        <w:spacing w:after="0"/>
        <w:rPr>
          <w:rFonts w:ascii="Times New Roman" w:hAnsi="Times New Roman" w:cs="Times New Roman"/>
          <w:noProof/>
          <w:sz w:val="24"/>
          <w:szCs w:val="24"/>
        </w:rPr>
      </w:pPr>
      <w:r w:rsidRPr="00265E75">
        <w:rPr>
          <w:rFonts w:ascii="Times New Roman" w:hAnsi="Times New Roman" w:cs="Times New Roman"/>
          <w:noProof/>
          <w:sz w:val="24"/>
          <w:szCs w:val="24"/>
        </w:rPr>
        <w:t>Automotive vehicles, parts, and engines increased $0.9 billion.</w:t>
      </w:r>
    </w:p>
    <w:p w14:paraId="766E2677" w14:textId="6B5A5743" w:rsidR="00265E75" w:rsidRPr="00265E75" w:rsidRDefault="003F7740" w:rsidP="00265E75">
      <w:pPr>
        <w:numPr>
          <w:ilvl w:val="2"/>
          <w:numId w:val="3"/>
        </w:numPr>
        <w:spacing w:after="0"/>
        <w:rPr>
          <w:rFonts w:ascii="Times New Roman" w:hAnsi="Times New Roman" w:cs="Times New Roman"/>
          <w:noProof/>
          <w:sz w:val="24"/>
          <w:szCs w:val="24"/>
        </w:rPr>
      </w:pPr>
      <w:r>
        <w:rPr>
          <w:rFonts w:ascii="Times New Roman" w:hAnsi="Times New Roman" w:cs="Times New Roman"/>
          <w:noProof/>
          <w:sz w:val="24"/>
          <w:szCs w:val="24"/>
        </w:rPr>
        <w:t xml:space="preserve">Passenger cars </w:t>
      </w:r>
      <w:r w:rsidR="00265E75" w:rsidRPr="00265E75">
        <w:rPr>
          <w:rFonts w:ascii="Times New Roman" w:hAnsi="Times New Roman" w:cs="Times New Roman"/>
          <w:noProof/>
          <w:sz w:val="24"/>
          <w:szCs w:val="24"/>
        </w:rPr>
        <w:t>increased $0.7 billion.</w:t>
      </w:r>
    </w:p>
    <w:p w14:paraId="10FF3BFD" w14:textId="75DD7BE2" w:rsidR="00267C00" w:rsidRPr="00267C00" w:rsidRDefault="003F7740" w:rsidP="00267C00">
      <w:pPr>
        <w:numPr>
          <w:ilvl w:val="1"/>
          <w:numId w:val="3"/>
        </w:numPr>
        <w:spacing w:after="0"/>
        <w:rPr>
          <w:rFonts w:ascii="Times New Roman" w:hAnsi="Times New Roman" w:cs="Times New Roman"/>
          <w:noProof/>
          <w:sz w:val="24"/>
          <w:szCs w:val="24"/>
        </w:rPr>
      </w:pPr>
      <w:r>
        <w:rPr>
          <w:rFonts w:ascii="Times New Roman" w:hAnsi="Times New Roman" w:cs="Times New Roman"/>
          <w:noProof/>
          <w:sz w:val="24"/>
          <w:szCs w:val="24"/>
        </w:rPr>
        <w:t xml:space="preserve">Capital goods </w:t>
      </w:r>
      <w:r w:rsidR="00267C00" w:rsidRPr="00267C00">
        <w:rPr>
          <w:rFonts w:ascii="Times New Roman" w:hAnsi="Times New Roman" w:cs="Times New Roman"/>
          <w:noProof/>
          <w:sz w:val="24"/>
          <w:szCs w:val="24"/>
        </w:rPr>
        <w:t>increased $0.7 billion.</w:t>
      </w:r>
    </w:p>
    <w:p w14:paraId="2AAD203E" w14:textId="77777777" w:rsidR="00267C00" w:rsidRPr="00267C00" w:rsidRDefault="00267C00" w:rsidP="00267C00">
      <w:pPr>
        <w:numPr>
          <w:ilvl w:val="2"/>
          <w:numId w:val="3"/>
        </w:numPr>
        <w:spacing w:after="0"/>
        <w:rPr>
          <w:rFonts w:ascii="Times New Roman" w:hAnsi="Times New Roman" w:cs="Times New Roman"/>
          <w:noProof/>
          <w:sz w:val="24"/>
          <w:szCs w:val="24"/>
        </w:rPr>
      </w:pPr>
      <w:r w:rsidRPr="00267C00">
        <w:rPr>
          <w:rFonts w:ascii="Times New Roman" w:hAnsi="Times New Roman" w:cs="Times New Roman"/>
          <w:noProof/>
          <w:sz w:val="24"/>
          <w:szCs w:val="24"/>
        </w:rPr>
        <w:t>Civilian aircraft increased $0.2 billion.</w:t>
      </w:r>
    </w:p>
    <w:p w14:paraId="79FA85B3" w14:textId="69742C58" w:rsidR="00267C00" w:rsidRDefault="003F7740" w:rsidP="003F7740">
      <w:pPr>
        <w:numPr>
          <w:ilvl w:val="2"/>
          <w:numId w:val="3"/>
        </w:numPr>
        <w:spacing w:after="0"/>
        <w:rPr>
          <w:rFonts w:ascii="Times New Roman" w:hAnsi="Times New Roman" w:cs="Times New Roman"/>
          <w:noProof/>
          <w:sz w:val="24"/>
          <w:szCs w:val="24"/>
        </w:rPr>
      </w:pPr>
      <w:r>
        <w:rPr>
          <w:rFonts w:ascii="Times New Roman" w:hAnsi="Times New Roman" w:cs="Times New Roman"/>
          <w:noProof/>
          <w:sz w:val="24"/>
          <w:szCs w:val="24"/>
        </w:rPr>
        <w:t>Drilling and</w:t>
      </w:r>
      <w:r w:rsidR="00267C00" w:rsidRPr="00267C00">
        <w:rPr>
          <w:rFonts w:ascii="Times New Roman" w:hAnsi="Times New Roman" w:cs="Times New Roman"/>
          <w:noProof/>
          <w:sz w:val="24"/>
          <w:szCs w:val="24"/>
        </w:rPr>
        <w:t xml:space="preserve"> oilfield equipment increased $0.2 billion.</w:t>
      </w:r>
    </w:p>
    <w:p w14:paraId="28D62B93" w14:textId="3FD1CDB1" w:rsidR="003F7740" w:rsidRDefault="003F7740" w:rsidP="003F7740">
      <w:pPr>
        <w:numPr>
          <w:ilvl w:val="1"/>
          <w:numId w:val="3"/>
        </w:numPr>
        <w:spacing w:after="0"/>
        <w:rPr>
          <w:rFonts w:ascii="Times New Roman" w:hAnsi="Times New Roman" w:cs="Times New Roman"/>
          <w:noProof/>
          <w:sz w:val="24"/>
          <w:szCs w:val="24"/>
        </w:rPr>
      </w:pPr>
      <w:r w:rsidRPr="003F7740">
        <w:rPr>
          <w:rFonts w:ascii="Times New Roman" w:hAnsi="Times New Roman" w:cs="Times New Roman"/>
          <w:noProof/>
          <w:sz w:val="24"/>
          <w:szCs w:val="24"/>
        </w:rPr>
        <w:t>Consumer goods decreased $0.8 billion.</w:t>
      </w:r>
    </w:p>
    <w:p w14:paraId="6ECCD2B2" w14:textId="10C70A5F" w:rsidR="003F7740" w:rsidRPr="00267C00" w:rsidRDefault="003F7740" w:rsidP="003F7740">
      <w:pPr>
        <w:numPr>
          <w:ilvl w:val="2"/>
          <w:numId w:val="3"/>
        </w:numPr>
        <w:spacing w:after="0"/>
        <w:rPr>
          <w:rFonts w:ascii="Times New Roman" w:hAnsi="Times New Roman" w:cs="Times New Roman"/>
          <w:noProof/>
          <w:sz w:val="24"/>
          <w:szCs w:val="24"/>
        </w:rPr>
      </w:pPr>
      <w:r w:rsidRPr="003F7740">
        <w:rPr>
          <w:rFonts w:ascii="Times New Roman" w:hAnsi="Times New Roman" w:cs="Times New Roman"/>
          <w:noProof/>
          <w:sz w:val="24"/>
          <w:szCs w:val="24"/>
        </w:rPr>
        <w:t>Pharmaceutical preparations decreased $0.6 billion.</w:t>
      </w:r>
    </w:p>
    <w:p w14:paraId="15B2696E" w14:textId="785EBC19" w:rsidR="00422991" w:rsidRDefault="003E19CE" w:rsidP="002A777B">
      <w:pPr>
        <w:spacing w:before="120" w:after="120"/>
        <w:ind w:left="-360" w:firstLine="360"/>
        <w:rPr>
          <w:rFonts w:ascii="Times New Roman" w:hAnsi="Times New Roman" w:cs="Times New Roman"/>
          <w:noProof/>
          <w:sz w:val="24"/>
          <w:szCs w:val="24"/>
        </w:rPr>
      </w:pPr>
      <w:r w:rsidRPr="003E19CE">
        <w:rPr>
          <w:rFonts w:ascii="Times New Roman" w:hAnsi="Times New Roman" w:cs="Times New Roman"/>
          <w:noProof/>
          <w:sz w:val="24"/>
          <w:szCs w:val="24"/>
        </w:rPr>
        <w:t>Net balance of payments adjustments decreased $0.1 billion.</w:t>
      </w:r>
    </w:p>
    <w:p w14:paraId="7D0995C1" w14:textId="31CBC2AC" w:rsidR="00C2068D" w:rsidRDefault="003E19CE" w:rsidP="00A95685">
      <w:pPr>
        <w:spacing w:after="0"/>
        <w:ind w:left="-360"/>
        <w:rPr>
          <w:rFonts w:ascii="Times New Roman" w:hAnsi="Times New Roman" w:cs="Times New Roman"/>
          <w:noProof/>
          <w:sz w:val="24"/>
          <w:szCs w:val="24"/>
        </w:rPr>
      </w:pPr>
      <w:r w:rsidRPr="003E19CE">
        <w:rPr>
          <w:rFonts w:ascii="Times New Roman" w:hAnsi="Times New Roman" w:cs="Times New Roman"/>
          <w:noProof/>
          <w:sz w:val="24"/>
          <w:szCs w:val="24"/>
        </w:rPr>
        <w:t>Exports of services increased $0.5 billion to $67.3 billion in February.</w:t>
      </w:r>
    </w:p>
    <w:p w14:paraId="52F8B8CF" w14:textId="2267A4F3" w:rsidR="00C2068D" w:rsidRDefault="00C2068D" w:rsidP="00422991">
      <w:pPr>
        <w:pStyle w:val="ListParagraph"/>
        <w:numPr>
          <w:ilvl w:val="0"/>
          <w:numId w:val="8"/>
        </w:numPr>
        <w:spacing w:after="0"/>
        <w:contextualSpacing w:val="0"/>
        <w:rPr>
          <w:rFonts w:ascii="Times New Roman" w:hAnsi="Times New Roman" w:cs="Times New Roman"/>
          <w:noProof/>
          <w:sz w:val="24"/>
          <w:szCs w:val="24"/>
        </w:rPr>
      </w:pPr>
      <w:r w:rsidRPr="00C2068D">
        <w:rPr>
          <w:rFonts w:ascii="Times New Roman" w:hAnsi="Times New Roman" w:cs="Times New Roman"/>
          <w:noProof/>
          <w:sz w:val="24"/>
          <w:szCs w:val="24"/>
        </w:rPr>
        <w:t xml:space="preserve">Transport </w:t>
      </w:r>
      <w:r w:rsidR="00AC3DB6">
        <w:rPr>
          <w:rFonts w:ascii="Times New Roman" w:hAnsi="Times New Roman" w:cs="Times New Roman"/>
          <w:noProof/>
          <w:sz w:val="24"/>
          <w:szCs w:val="24"/>
        </w:rPr>
        <w:t>in</w:t>
      </w:r>
      <w:r w:rsidRPr="00C2068D">
        <w:rPr>
          <w:rFonts w:ascii="Times New Roman" w:hAnsi="Times New Roman" w:cs="Times New Roman"/>
          <w:noProof/>
          <w:sz w:val="24"/>
          <w:szCs w:val="24"/>
        </w:rPr>
        <w:t>creased $0.</w:t>
      </w:r>
      <w:r w:rsidR="00AC3DB6">
        <w:rPr>
          <w:rFonts w:ascii="Times New Roman" w:hAnsi="Times New Roman" w:cs="Times New Roman"/>
          <w:noProof/>
          <w:sz w:val="24"/>
          <w:szCs w:val="24"/>
        </w:rPr>
        <w:t>2</w:t>
      </w:r>
      <w:r w:rsidRPr="00C2068D">
        <w:rPr>
          <w:rFonts w:ascii="Times New Roman" w:hAnsi="Times New Roman" w:cs="Times New Roman"/>
          <w:noProof/>
          <w:sz w:val="24"/>
          <w:szCs w:val="24"/>
        </w:rPr>
        <w:t xml:space="preserve"> billion.</w:t>
      </w:r>
    </w:p>
    <w:p w14:paraId="35509BFC" w14:textId="20AFFFB2" w:rsidR="00F65176" w:rsidRDefault="00C2068D" w:rsidP="00422991">
      <w:pPr>
        <w:pStyle w:val="ListParagraph"/>
        <w:numPr>
          <w:ilvl w:val="0"/>
          <w:numId w:val="8"/>
        </w:numPr>
        <w:spacing w:after="0"/>
        <w:contextualSpacing w:val="0"/>
        <w:rPr>
          <w:rFonts w:ascii="Times New Roman" w:hAnsi="Times New Roman" w:cs="Times New Roman"/>
          <w:noProof/>
          <w:sz w:val="24"/>
          <w:szCs w:val="24"/>
        </w:rPr>
      </w:pPr>
      <w:r w:rsidRPr="00C2068D">
        <w:rPr>
          <w:rFonts w:ascii="Times New Roman" w:hAnsi="Times New Roman" w:cs="Times New Roman"/>
          <w:noProof/>
          <w:sz w:val="24"/>
          <w:szCs w:val="24"/>
        </w:rPr>
        <w:t>Travel (for all purposes including education) increased $0.</w:t>
      </w:r>
      <w:r w:rsidR="00AC3DB6">
        <w:rPr>
          <w:rFonts w:ascii="Times New Roman" w:hAnsi="Times New Roman" w:cs="Times New Roman"/>
          <w:noProof/>
          <w:sz w:val="24"/>
          <w:szCs w:val="24"/>
        </w:rPr>
        <w:t>1</w:t>
      </w:r>
      <w:r w:rsidRPr="00C2068D">
        <w:rPr>
          <w:rFonts w:ascii="Times New Roman" w:hAnsi="Times New Roman" w:cs="Times New Roman"/>
          <w:noProof/>
          <w:sz w:val="24"/>
          <w:szCs w:val="24"/>
        </w:rPr>
        <w:t xml:space="preserve"> billion.</w:t>
      </w:r>
    </w:p>
    <w:p w14:paraId="1AF103F7" w14:textId="732BE531" w:rsidR="00AC3DB6" w:rsidRPr="00AC3DB6" w:rsidRDefault="00AC3DB6" w:rsidP="002C4B23">
      <w:pPr>
        <w:pStyle w:val="ListParagraph"/>
        <w:numPr>
          <w:ilvl w:val="0"/>
          <w:numId w:val="8"/>
        </w:numPr>
        <w:spacing w:after="0"/>
        <w:contextualSpacing w:val="0"/>
        <w:rPr>
          <w:rFonts w:ascii="Times New Roman" w:hAnsi="Times New Roman" w:cs="Times New Roman"/>
          <w:noProof/>
          <w:sz w:val="24"/>
          <w:szCs w:val="24"/>
        </w:rPr>
      </w:pPr>
      <w:r w:rsidRPr="00AC3DB6">
        <w:rPr>
          <w:rFonts w:ascii="Times New Roman" w:hAnsi="Times New Roman" w:cs="Times New Roman"/>
          <w:noProof/>
          <w:sz w:val="24"/>
          <w:szCs w:val="24"/>
        </w:rPr>
        <w:t>Charges for the use of intellectual property increased $0.1 billion.</w:t>
      </w:r>
    </w:p>
    <w:p w14:paraId="0D9A76B3" w14:textId="77777777" w:rsidR="003133E9" w:rsidRDefault="00593E4B" w:rsidP="00422991">
      <w:pPr>
        <w:spacing w:before="120" w:after="0"/>
        <w:ind w:left="-360"/>
        <w:rPr>
          <w:rFonts w:ascii="Times New Roman" w:hAnsi="Times New Roman" w:cs="Times New Roman"/>
          <w:b/>
          <w:noProof/>
          <w:sz w:val="24"/>
          <w:szCs w:val="24"/>
        </w:rPr>
      </w:pPr>
      <w:r w:rsidRPr="00593E4B">
        <w:rPr>
          <w:rFonts w:ascii="Times New Roman" w:hAnsi="Times New Roman" w:cs="Times New Roman"/>
          <w:b/>
          <w:noProof/>
          <w:sz w:val="24"/>
          <w:szCs w:val="24"/>
        </w:rPr>
        <w:t>Imports (Exhibits 4, 6, and 8)</w:t>
      </w:r>
    </w:p>
    <w:p w14:paraId="2430CD35" w14:textId="138BC674" w:rsidR="00C2068D" w:rsidRDefault="003E19CE" w:rsidP="003133E9">
      <w:pPr>
        <w:spacing w:after="120"/>
        <w:ind w:left="-360"/>
        <w:rPr>
          <w:rFonts w:ascii="Times New Roman" w:hAnsi="Times New Roman" w:cs="Times New Roman"/>
          <w:noProof/>
          <w:sz w:val="24"/>
          <w:szCs w:val="24"/>
        </w:rPr>
      </w:pPr>
      <w:r w:rsidRPr="003E19CE">
        <w:rPr>
          <w:rFonts w:ascii="Times New Roman" w:hAnsi="Times New Roman" w:cs="Times New Roman"/>
          <w:noProof/>
          <w:sz w:val="24"/>
          <w:szCs w:val="24"/>
        </w:rPr>
        <w:t>Imports of goods increased $3.3 billion to $214.2 billion in February.</w:t>
      </w:r>
    </w:p>
    <w:p w14:paraId="016FBF52" w14:textId="01D49F8F" w:rsidR="00C2068D" w:rsidRDefault="003E19CE" w:rsidP="00A95685">
      <w:pPr>
        <w:spacing w:after="0"/>
        <w:ind w:left="-360" w:firstLine="360"/>
        <w:rPr>
          <w:rFonts w:ascii="Times New Roman" w:hAnsi="Times New Roman" w:cs="Times New Roman"/>
          <w:noProof/>
          <w:sz w:val="24"/>
          <w:szCs w:val="24"/>
        </w:rPr>
      </w:pPr>
      <w:r w:rsidRPr="003E19CE">
        <w:rPr>
          <w:rFonts w:ascii="Times New Roman" w:hAnsi="Times New Roman" w:cs="Times New Roman"/>
          <w:noProof/>
          <w:sz w:val="24"/>
          <w:szCs w:val="24"/>
        </w:rPr>
        <w:t>Imports of goods on a Census basis increased $3.5 billion.</w:t>
      </w:r>
    </w:p>
    <w:p w14:paraId="1E1BA058" w14:textId="2BFDF856" w:rsidR="004E599A" w:rsidRPr="004E599A" w:rsidRDefault="004E599A" w:rsidP="004E599A">
      <w:pPr>
        <w:numPr>
          <w:ilvl w:val="1"/>
          <w:numId w:val="3"/>
        </w:numPr>
        <w:spacing w:after="0"/>
        <w:rPr>
          <w:rFonts w:ascii="Times New Roman" w:hAnsi="Times New Roman" w:cs="Times New Roman"/>
          <w:noProof/>
          <w:sz w:val="24"/>
          <w:szCs w:val="24"/>
        </w:rPr>
      </w:pPr>
      <w:r w:rsidRPr="004E599A">
        <w:rPr>
          <w:rFonts w:ascii="Times New Roman" w:hAnsi="Times New Roman" w:cs="Times New Roman"/>
          <w:noProof/>
          <w:sz w:val="24"/>
          <w:szCs w:val="24"/>
        </w:rPr>
        <w:t>Capital goods</w:t>
      </w:r>
      <w:r w:rsidR="001C7F2E">
        <w:rPr>
          <w:rFonts w:ascii="Times New Roman" w:hAnsi="Times New Roman" w:cs="Times New Roman"/>
          <w:noProof/>
          <w:sz w:val="24"/>
          <w:szCs w:val="24"/>
        </w:rPr>
        <w:t xml:space="preserve"> </w:t>
      </w:r>
      <w:r w:rsidRPr="004E599A">
        <w:rPr>
          <w:rFonts w:ascii="Times New Roman" w:hAnsi="Times New Roman" w:cs="Times New Roman"/>
          <w:noProof/>
          <w:sz w:val="24"/>
          <w:szCs w:val="24"/>
        </w:rPr>
        <w:t>increased $1.8 billion.</w:t>
      </w:r>
    </w:p>
    <w:p w14:paraId="24E30AF0" w14:textId="77777777" w:rsidR="004E599A" w:rsidRPr="004E599A" w:rsidRDefault="004E599A" w:rsidP="004E599A">
      <w:pPr>
        <w:numPr>
          <w:ilvl w:val="2"/>
          <w:numId w:val="3"/>
        </w:numPr>
        <w:spacing w:after="0"/>
        <w:rPr>
          <w:rFonts w:ascii="Times New Roman" w:hAnsi="Times New Roman" w:cs="Times New Roman"/>
          <w:noProof/>
          <w:sz w:val="24"/>
          <w:szCs w:val="24"/>
        </w:rPr>
      </w:pPr>
      <w:r w:rsidRPr="004E599A">
        <w:rPr>
          <w:rFonts w:ascii="Times New Roman" w:hAnsi="Times New Roman" w:cs="Times New Roman"/>
          <w:noProof/>
          <w:sz w:val="24"/>
          <w:szCs w:val="24"/>
        </w:rPr>
        <w:t>Civilian aircraft increased $0.5 billion.</w:t>
      </w:r>
    </w:p>
    <w:p w14:paraId="35277128" w14:textId="38F82756" w:rsidR="004E599A" w:rsidRPr="004E599A" w:rsidRDefault="00B848DD" w:rsidP="004E599A">
      <w:pPr>
        <w:numPr>
          <w:ilvl w:val="2"/>
          <w:numId w:val="3"/>
        </w:numPr>
        <w:spacing w:after="0"/>
        <w:rPr>
          <w:rFonts w:ascii="Times New Roman" w:hAnsi="Times New Roman" w:cs="Times New Roman"/>
          <w:noProof/>
          <w:sz w:val="24"/>
          <w:szCs w:val="24"/>
        </w:rPr>
      </w:pPr>
      <w:r>
        <w:rPr>
          <w:rFonts w:ascii="Times New Roman" w:hAnsi="Times New Roman" w:cs="Times New Roman"/>
          <w:noProof/>
          <w:sz w:val="24"/>
          <w:szCs w:val="24"/>
        </w:rPr>
        <w:t>Materials-</w:t>
      </w:r>
      <w:r w:rsidR="004E599A" w:rsidRPr="004E599A">
        <w:rPr>
          <w:rFonts w:ascii="Times New Roman" w:hAnsi="Times New Roman" w:cs="Times New Roman"/>
          <w:noProof/>
          <w:sz w:val="24"/>
          <w:szCs w:val="24"/>
        </w:rPr>
        <w:t>handling equipment increased $0.3 billion.</w:t>
      </w:r>
    </w:p>
    <w:p w14:paraId="5473A0C7" w14:textId="77777777" w:rsidR="001C7F2E" w:rsidRDefault="004E599A" w:rsidP="004E599A">
      <w:pPr>
        <w:numPr>
          <w:ilvl w:val="2"/>
          <w:numId w:val="3"/>
        </w:numPr>
        <w:spacing w:after="0"/>
        <w:rPr>
          <w:rFonts w:ascii="Times New Roman" w:hAnsi="Times New Roman" w:cs="Times New Roman"/>
          <w:noProof/>
          <w:sz w:val="24"/>
          <w:szCs w:val="24"/>
        </w:rPr>
      </w:pPr>
      <w:r w:rsidRPr="004E599A">
        <w:rPr>
          <w:rFonts w:ascii="Times New Roman" w:hAnsi="Times New Roman" w:cs="Times New Roman"/>
          <w:noProof/>
          <w:sz w:val="24"/>
          <w:szCs w:val="24"/>
        </w:rPr>
        <w:t>Computers increased $0.3 billion.</w:t>
      </w:r>
    </w:p>
    <w:p w14:paraId="31056B14" w14:textId="77777777" w:rsidR="004E599A" w:rsidRPr="004E599A" w:rsidRDefault="004E599A" w:rsidP="004E599A">
      <w:pPr>
        <w:numPr>
          <w:ilvl w:val="1"/>
          <w:numId w:val="3"/>
        </w:numPr>
        <w:spacing w:after="0"/>
        <w:rPr>
          <w:rFonts w:ascii="Times New Roman" w:hAnsi="Times New Roman" w:cs="Times New Roman"/>
          <w:noProof/>
          <w:sz w:val="24"/>
          <w:szCs w:val="24"/>
        </w:rPr>
      </w:pPr>
      <w:r w:rsidRPr="004E599A">
        <w:rPr>
          <w:rFonts w:ascii="Times New Roman" w:hAnsi="Times New Roman" w:cs="Times New Roman"/>
          <w:noProof/>
          <w:sz w:val="24"/>
          <w:szCs w:val="24"/>
        </w:rPr>
        <w:t>Industrial supplies and materials increased $0.8 billion.</w:t>
      </w:r>
    </w:p>
    <w:p w14:paraId="7D6B675C" w14:textId="05930F7B" w:rsidR="004E599A" w:rsidRDefault="004E599A" w:rsidP="004E599A">
      <w:pPr>
        <w:numPr>
          <w:ilvl w:val="2"/>
          <w:numId w:val="3"/>
        </w:numPr>
        <w:spacing w:after="0"/>
        <w:rPr>
          <w:rFonts w:ascii="Times New Roman" w:hAnsi="Times New Roman" w:cs="Times New Roman"/>
          <w:noProof/>
          <w:sz w:val="24"/>
          <w:szCs w:val="24"/>
        </w:rPr>
      </w:pPr>
      <w:r w:rsidRPr="004E599A">
        <w:rPr>
          <w:rFonts w:ascii="Times New Roman" w:hAnsi="Times New Roman" w:cs="Times New Roman"/>
          <w:noProof/>
          <w:sz w:val="24"/>
          <w:szCs w:val="24"/>
        </w:rPr>
        <w:t>Crude oil increased $0.7 billion.</w:t>
      </w:r>
    </w:p>
    <w:p w14:paraId="75C59874" w14:textId="7222656B" w:rsidR="004E599A" w:rsidRDefault="004E599A" w:rsidP="004E599A">
      <w:pPr>
        <w:numPr>
          <w:ilvl w:val="1"/>
          <w:numId w:val="3"/>
        </w:numPr>
        <w:spacing w:after="0"/>
        <w:rPr>
          <w:rFonts w:ascii="Times New Roman" w:hAnsi="Times New Roman" w:cs="Times New Roman"/>
          <w:noProof/>
          <w:sz w:val="24"/>
          <w:szCs w:val="24"/>
        </w:rPr>
      </w:pPr>
      <w:r w:rsidRPr="004E599A">
        <w:rPr>
          <w:rFonts w:ascii="Times New Roman" w:hAnsi="Times New Roman" w:cs="Times New Roman"/>
          <w:noProof/>
          <w:sz w:val="24"/>
          <w:szCs w:val="24"/>
        </w:rPr>
        <w:t>Foods, feeds, and beverages increased $0.8 billion.</w:t>
      </w:r>
    </w:p>
    <w:p w14:paraId="04604A58" w14:textId="7CA5E941" w:rsidR="00A95685" w:rsidRDefault="003E19CE" w:rsidP="0072449D">
      <w:pPr>
        <w:spacing w:before="120" w:after="120"/>
        <w:ind w:left="-360" w:firstLine="360"/>
        <w:rPr>
          <w:rFonts w:ascii="Times New Roman" w:hAnsi="Times New Roman" w:cs="Times New Roman"/>
          <w:noProof/>
          <w:sz w:val="24"/>
          <w:szCs w:val="24"/>
        </w:rPr>
      </w:pPr>
      <w:r w:rsidRPr="003E19CE">
        <w:rPr>
          <w:rFonts w:ascii="Times New Roman" w:hAnsi="Times New Roman" w:cs="Times New Roman"/>
          <w:noProof/>
          <w:sz w:val="24"/>
          <w:szCs w:val="24"/>
        </w:rPr>
        <w:t>Net balance of payments adjustments decreased $0.2 billion.</w:t>
      </w:r>
    </w:p>
    <w:p w14:paraId="66A210CB" w14:textId="3876E1E7" w:rsidR="00674036" w:rsidRDefault="003E19CE" w:rsidP="001172C9">
      <w:pPr>
        <w:spacing w:after="120"/>
        <w:ind w:left="-360"/>
        <w:rPr>
          <w:rFonts w:ascii="Times New Roman" w:hAnsi="Times New Roman" w:cs="Times New Roman"/>
          <w:noProof/>
          <w:sz w:val="24"/>
          <w:szCs w:val="24"/>
        </w:rPr>
      </w:pPr>
      <w:r w:rsidRPr="003E19CE">
        <w:rPr>
          <w:rFonts w:ascii="Times New Roman" w:hAnsi="Times New Roman" w:cs="Times New Roman"/>
          <w:noProof/>
          <w:sz w:val="24"/>
          <w:szCs w:val="24"/>
        </w:rPr>
        <w:lastRenderedPageBreak/>
        <w:t>Imports of services increased $1.1 billion to $47.8 billion in February.</w:t>
      </w:r>
    </w:p>
    <w:p w14:paraId="3C6518FF" w14:textId="77777777" w:rsidR="00AC3DB6" w:rsidRPr="00AC3DB6" w:rsidRDefault="00AC3DB6" w:rsidP="007F40B3">
      <w:pPr>
        <w:pStyle w:val="ListParagraph"/>
        <w:numPr>
          <w:ilvl w:val="0"/>
          <w:numId w:val="10"/>
        </w:numPr>
        <w:spacing w:after="0"/>
        <w:contextualSpacing w:val="0"/>
        <w:rPr>
          <w:rFonts w:ascii="Times New Roman" w:hAnsi="Times New Roman" w:cs="Times New Roman"/>
          <w:noProof/>
          <w:sz w:val="24"/>
          <w:szCs w:val="24"/>
        </w:rPr>
      </w:pPr>
      <w:r w:rsidRPr="00AC3DB6">
        <w:rPr>
          <w:rFonts w:ascii="Times New Roman" w:hAnsi="Times New Roman" w:cs="Times New Roman"/>
          <w:noProof/>
          <w:sz w:val="24"/>
          <w:szCs w:val="24"/>
        </w:rPr>
        <w:t>The largest increase was in charges for the use of intellectual property ($1.0 billion). The increase reflects payments for the rights to broadcast the 2018 Winter Olympic Games.</w:t>
      </w:r>
    </w:p>
    <w:p w14:paraId="02C43655" w14:textId="7EFC7277" w:rsidR="00AC3DB6" w:rsidRPr="00AC3DB6" w:rsidRDefault="00AC3DB6" w:rsidP="002C4B23">
      <w:pPr>
        <w:pStyle w:val="ListParagraph"/>
        <w:numPr>
          <w:ilvl w:val="0"/>
          <w:numId w:val="10"/>
        </w:numPr>
        <w:spacing w:after="120"/>
        <w:contextualSpacing w:val="0"/>
        <w:rPr>
          <w:rFonts w:ascii="Times New Roman" w:hAnsi="Times New Roman" w:cs="Times New Roman"/>
          <w:noProof/>
          <w:sz w:val="24"/>
          <w:szCs w:val="24"/>
        </w:rPr>
      </w:pPr>
      <w:r w:rsidRPr="00AC3DB6">
        <w:rPr>
          <w:rFonts w:ascii="Times New Roman" w:hAnsi="Times New Roman" w:cs="Times New Roman"/>
          <w:noProof/>
          <w:sz w:val="24"/>
          <w:szCs w:val="24"/>
        </w:rPr>
        <w:t>The largest decrease was in travel (for all purposes including education) ($0.2 billion).</w:t>
      </w:r>
    </w:p>
    <w:p w14:paraId="67E6A8A5" w14:textId="398BD4A9" w:rsidR="00674036" w:rsidRDefault="00D602E5" w:rsidP="00D366C3">
      <w:pPr>
        <w:spacing w:after="120"/>
        <w:ind w:left="-360"/>
        <w:rPr>
          <w:rFonts w:ascii="Times New Roman" w:hAnsi="Times New Roman" w:cs="Times New Roman"/>
          <w:noProof/>
          <w:sz w:val="24"/>
          <w:szCs w:val="24"/>
        </w:rPr>
      </w:pPr>
      <w:r w:rsidRPr="00D602E5">
        <w:rPr>
          <w:rFonts w:ascii="Times New Roman" w:hAnsi="Times New Roman" w:cs="Times New Roman"/>
          <w:b/>
          <w:noProof/>
          <w:sz w:val="24"/>
          <w:szCs w:val="24"/>
        </w:rPr>
        <w:t>Real Goods in 2009 Dollars – Census Basis (Exhibit 11)</w:t>
      </w:r>
      <w:r>
        <w:rPr>
          <w:rFonts w:ascii="Times New Roman" w:hAnsi="Times New Roman" w:cs="Times New Roman"/>
          <w:b/>
          <w:noProof/>
          <w:sz w:val="24"/>
          <w:szCs w:val="24"/>
        </w:rPr>
        <w:br/>
      </w:r>
      <w:r w:rsidR="003E19CE" w:rsidRPr="003E19CE">
        <w:rPr>
          <w:rFonts w:ascii="Times New Roman" w:hAnsi="Times New Roman" w:cs="Times New Roman"/>
          <w:noProof/>
          <w:sz w:val="24"/>
          <w:szCs w:val="24"/>
        </w:rPr>
        <w:t>The real goods deficit decreased $0.9 billion to $69.1 billion in February.</w:t>
      </w:r>
    </w:p>
    <w:p w14:paraId="17CE7759" w14:textId="6529AB31" w:rsidR="00674036" w:rsidRPr="00674036" w:rsidRDefault="003E19CE" w:rsidP="009E311D">
      <w:pPr>
        <w:pStyle w:val="ListParagraph"/>
        <w:numPr>
          <w:ilvl w:val="0"/>
          <w:numId w:val="10"/>
        </w:numPr>
        <w:spacing w:after="0"/>
        <w:contextualSpacing w:val="0"/>
        <w:rPr>
          <w:rFonts w:ascii="Times New Roman" w:hAnsi="Times New Roman" w:cs="Times New Roman"/>
          <w:noProof/>
          <w:sz w:val="24"/>
          <w:szCs w:val="24"/>
        </w:rPr>
      </w:pPr>
      <w:r w:rsidRPr="003E19CE">
        <w:rPr>
          <w:rFonts w:ascii="Times New Roman" w:hAnsi="Times New Roman" w:cs="Times New Roman"/>
          <w:noProof/>
          <w:sz w:val="24"/>
          <w:szCs w:val="24"/>
        </w:rPr>
        <w:t>Real exports of goods increased $2.5 billion to $129.4 billion.</w:t>
      </w:r>
    </w:p>
    <w:p w14:paraId="0654CA4D" w14:textId="704A59CC" w:rsidR="00D602E5" w:rsidRPr="00674036" w:rsidRDefault="003E19CE" w:rsidP="00674036">
      <w:pPr>
        <w:pStyle w:val="ListParagraph"/>
        <w:numPr>
          <w:ilvl w:val="0"/>
          <w:numId w:val="10"/>
        </w:numPr>
        <w:spacing w:after="120"/>
        <w:contextualSpacing w:val="0"/>
        <w:rPr>
          <w:rFonts w:ascii="Times New Roman" w:hAnsi="Times New Roman" w:cs="Times New Roman"/>
          <w:noProof/>
          <w:sz w:val="24"/>
          <w:szCs w:val="24"/>
        </w:rPr>
      </w:pPr>
      <w:r w:rsidRPr="003E19CE">
        <w:rPr>
          <w:rFonts w:ascii="Times New Roman" w:hAnsi="Times New Roman" w:cs="Times New Roman"/>
          <w:noProof/>
          <w:sz w:val="24"/>
          <w:szCs w:val="24"/>
        </w:rPr>
        <w:t>Real imports of goods increased $1.7 billion to $198.5 billion.</w:t>
      </w:r>
    </w:p>
    <w:p w14:paraId="6E834DE5" w14:textId="77777777" w:rsidR="00320862" w:rsidRDefault="00490E68" w:rsidP="00320862">
      <w:pPr>
        <w:spacing w:after="0"/>
        <w:ind w:left="-360"/>
        <w:rPr>
          <w:rFonts w:ascii="Times New Roman" w:hAnsi="Times New Roman" w:cs="Times New Roman"/>
          <w:b/>
          <w:noProof/>
          <w:sz w:val="24"/>
          <w:szCs w:val="24"/>
        </w:rPr>
      </w:pPr>
      <w:r w:rsidRPr="00490E68">
        <w:rPr>
          <w:rFonts w:ascii="Times New Roman" w:hAnsi="Times New Roman" w:cs="Times New Roman"/>
          <w:b/>
          <w:noProof/>
          <w:sz w:val="24"/>
          <w:szCs w:val="24"/>
        </w:rPr>
        <w:t>Revisions</w:t>
      </w:r>
    </w:p>
    <w:p w14:paraId="72FC10D8" w14:textId="70D8BBF8" w:rsidR="00674036" w:rsidRPr="00674036" w:rsidRDefault="003E19CE" w:rsidP="00D6567F">
      <w:pPr>
        <w:spacing w:after="0"/>
        <w:ind w:left="-360"/>
        <w:rPr>
          <w:rFonts w:ascii="Times New Roman" w:hAnsi="Times New Roman" w:cs="Times New Roman"/>
          <w:noProof/>
          <w:sz w:val="24"/>
          <w:szCs w:val="24"/>
        </w:rPr>
      </w:pPr>
      <w:r w:rsidRPr="003E19CE">
        <w:rPr>
          <w:rFonts w:ascii="Times New Roman" w:hAnsi="Times New Roman" w:cs="Times New Roman"/>
          <w:noProof/>
          <w:sz w:val="24"/>
          <w:szCs w:val="24"/>
        </w:rPr>
        <w:t>Revisions to January exports</w:t>
      </w:r>
    </w:p>
    <w:p w14:paraId="4B1F162B" w14:textId="4B530556" w:rsidR="00674036" w:rsidRPr="00674036" w:rsidRDefault="003E19CE" w:rsidP="00326C99">
      <w:pPr>
        <w:pStyle w:val="ListParagraph"/>
        <w:numPr>
          <w:ilvl w:val="0"/>
          <w:numId w:val="11"/>
        </w:numPr>
        <w:tabs>
          <w:tab w:val="left" w:pos="5670"/>
        </w:tabs>
        <w:spacing w:after="0"/>
        <w:contextualSpacing w:val="0"/>
        <w:rPr>
          <w:rFonts w:ascii="Times New Roman" w:hAnsi="Times New Roman" w:cs="Times New Roman"/>
          <w:noProof/>
          <w:sz w:val="24"/>
          <w:szCs w:val="24"/>
        </w:rPr>
      </w:pPr>
      <w:r w:rsidRPr="003E19CE">
        <w:rPr>
          <w:rFonts w:ascii="Times New Roman" w:hAnsi="Times New Roman" w:cs="Times New Roman"/>
          <w:noProof/>
          <w:sz w:val="24"/>
          <w:szCs w:val="24"/>
        </w:rPr>
        <w:t>Exports of goods were revised down $0.1 billion.</w:t>
      </w:r>
    </w:p>
    <w:p w14:paraId="02A25873" w14:textId="1E326A41" w:rsidR="00674036" w:rsidRPr="00674036" w:rsidRDefault="003E19CE" w:rsidP="001172C9">
      <w:pPr>
        <w:pStyle w:val="ListParagraph"/>
        <w:numPr>
          <w:ilvl w:val="0"/>
          <w:numId w:val="10"/>
        </w:numPr>
        <w:spacing w:after="120"/>
        <w:contextualSpacing w:val="0"/>
        <w:rPr>
          <w:rFonts w:ascii="Times New Roman" w:hAnsi="Times New Roman" w:cs="Times New Roman"/>
          <w:noProof/>
          <w:sz w:val="24"/>
          <w:szCs w:val="24"/>
        </w:rPr>
      </w:pPr>
      <w:r w:rsidRPr="003E19CE">
        <w:rPr>
          <w:rFonts w:ascii="Times New Roman" w:hAnsi="Times New Roman" w:cs="Times New Roman"/>
          <w:noProof/>
          <w:sz w:val="24"/>
          <w:szCs w:val="24"/>
        </w:rPr>
        <w:t>Exports of services were revised up $0.1 billion.</w:t>
      </w:r>
    </w:p>
    <w:p w14:paraId="2927EBAD" w14:textId="4D951949" w:rsidR="00674036" w:rsidRPr="00674036" w:rsidRDefault="003E19CE" w:rsidP="00D6567F">
      <w:pPr>
        <w:spacing w:after="0"/>
        <w:ind w:left="-360"/>
        <w:rPr>
          <w:rFonts w:ascii="Times New Roman" w:hAnsi="Times New Roman" w:cs="Times New Roman"/>
          <w:noProof/>
          <w:sz w:val="24"/>
          <w:szCs w:val="24"/>
        </w:rPr>
      </w:pPr>
      <w:r w:rsidRPr="003E19CE">
        <w:rPr>
          <w:rFonts w:ascii="Times New Roman" w:hAnsi="Times New Roman" w:cs="Times New Roman"/>
          <w:noProof/>
          <w:sz w:val="24"/>
          <w:szCs w:val="24"/>
        </w:rPr>
        <w:t>Revisions to January imports</w:t>
      </w:r>
    </w:p>
    <w:p w14:paraId="7B8912A7" w14:textId="4CD5DECD" w:rsidR="00674036" w:rsidRPr="00674036" w:rsidRDefault="003E19CE" w:rsidP="001172C9">
      <w:pPr>
        <w:pStyle w:val="ListParagraph"/>
        <w:numPr>
          <w:ilvl w:val="0"/>
          <w:numId w:val="10"/>
        </w:numPr>
        <w:spacing w:after="0"/>
        <w:contextualSpacing w:val="0"/>
        <w:rPr>
          <w:rFonts w:ascii="Times New Roman" w:hAnsi="Times New Roman" w:cs="Times New Roman"/>
          <w:noProof/>
          <w:sz w:val="24"/>
          <w:szCs w:val="24"/>
        </w:rPr>
      </w:pPr>
      <w:r w:rsidRPr="003E19CE">
        <w:rPr>
          <w:rFonts w:ascii="Times New Roman" w:hAnsi="Times New Roman" w:cs="Times New Roman"/>
          <w:noProof/>
          <w:sz w:val="24"/>
          <w:szCs w:val="24"/>
        </w:rPr>
        <w:t>Imports of goods were revised up $0.1 billion.</w:t>
      </w:r>
    </w:p>
    <w:p w14:paraId="19DE2784" w14:textId="24382EA9" w:rsidR="00490E68" w:rsidRPr="00674036" w:rsidRDefault="003E19CE" w:rsidP="00674036">
      <w:pPr>
        <w:pStyle w:val="ListParagraph"/>
        <w:numPr>
          <w:ilvl w:val="0"/>
          <w:numId w:val="10"/>
        </w:numPr>
        <w:spacing w:after="120"/>
        <w:contextualSpacing w:val="0"/>
        <w:rPr>
          <w:rFonts w:ascii="Times New Roman" w:hAnsi="Times New Roman" w:cs="Times New Roman"/>
          <w:noProof/>
          <w:sz w:val="24"/>
          <w:szCs w:val="24"/>
        </w:rPr>
      </w:pPr>
      <w:r w:rsidRPr="003E19CE">
        <w:rPr>
          <w:rFonts w:ascii="Times New Roman" w:hAnsi="Times New Roman" w:cs="Times New Roman"/>
          <w:noProof/>
          <w:sz w:val="24"/>
          <w:szCs w:val="24"/>
        </w:rPr>
        <w:t>Imports of services were revised down</w:t>
      </w:r>
      <w:r w:rsidR="007B1E18">
        <w:rPr>
          <w:rFonts w:ascii="Times New Roman" w:hAnsi="Times New Roman" w:cs="Times New Roman"/>
          <w:noProof/>
          <w:sz w:val="24"/>
          <w:szCs w:val="24"/>
        </w:rPr>
        <w:t xml:space="preserve"> less than $0.1</w:t>
      </w:r>
      <w:r w:rsidRPr="003E19CE">
        <w:rPr>
          <w:rFonts w:ascii="Times New Roman" w:hAnsi="Times New Roman" w:cs="Times New Roman"/>
          <w:noProof/>
          <w:sz w:val="24"/>
          <w:szCs w:val="24"/>
        </w:rPr>
        <w:t xml:space="preserve"> billion.</w:t>
      </w:r>
    </w:p>
    <w:p w14:paraId="420247DF" w14:textId="5E44ACA5" w:rsidR="00674036" w:rsidRDefault="00490E68" w:rsidP="003133E9">
      <w:pPr>
        <w:spacing w:after="120"/>
        <w:ind w:left="-360"/>
        <w:rPr>
          <w:rFonts w:ascii="Times New Roman" w:hAnsi="Times New Roman" w:cs="Times New Roman"/>
          <w:noProof/>
          <w:sz w:val="24"/>
          <w:szCs w:val="24"/>
        </w:rPr>
      </w:pPr>
      <w:r w:rsidRPr="00490E68">
        <w:rPr>
          <w:rFonts w:ascii="Times New Roman" w:hAnsi="Times New Roman" w:cs="Times New Roman"/>
          <w:b/>
          <w:noProof/>
          <w:sz w:val="24"/>
          <w:szCs w:val="24"/>
        </w:rPr>
        <w:t>Goods by Selected Cou</w:t>
      </w:r>
      <w:r>
        <w:rPr>
          <w:rFonts w:ascii="Times New Roman" w:hAnsi="Times New Roman" w:cs="Times New Roman"/>
          <w:b/>
          <w:noProof/>
          <w:sz w:val="24"/>
          <w:szCs w:val="24"/>
        </w:rPr>
        <w:t xml:space="preserve">ntries and Areas: </w:t>
      </w:r>
      <w:r w:rsidRPr="00490E68">
        <w:rPr>
          <w:rFonts w:ascii="Times New Roman" w:hAnsi="Times New Roman" w:cs="Times New Roman"/>
          <w:b/>
          <w:noProof/>
          <w:sz w:val="24"/>
          <w:szCs w:val="24"/>
        </w:rPr>
        <w:t>Monthly – Census Basis (Exhibit 19)</w:t>
      </w:r>
      <w:r>
        <w:rPr>
          <w:rFonts w:ascii="Times New Roman" w:hAnsi="Times New Roman" w:cs="Times New Roman"/>
          <w:b/>
          <w:noProof/>
          <w:sz w:val="24"/>
          <w:szCs w:val="24"/>
        </w:rPr>
        <w:br/>
      </w:r>
      <w:r w:rsidR="003E19CE" w:rsidRPr="003E19CE">
        <w:rPr>
          <w:rFonts w:ascii="Times New Roman" w:hAnsi="Times New Roman" w:cs="Times New Roman"/>
          <w:noProof/>
          <w:sz w:val="24"/>
          <w:szCs w:val="24"/>
        </w:rPr>
        <w:t>The February figures show surpluses, in billions of dollars, with South and Central America ($3.4), Hong Kong ($3.1), Brazil ($0.9), United Kingdom ($0.6), and Singapore ($0.5). Deficits were recorded, in billions of dollars, with China ($34.7), European Union ($15.3), Germany ($6.7), Mexico ($6.6), Japan ($6.0), Italy ($2.8), OPEC ($2.3), India ($1.9), Taiwan ($1.5), France ($1.4), South Korea ($1.1), Saudi Arabia ($0.4), and Canada ($0.4</w:t>
      </w:r>
      <w:r w:rsidR="003E19CE">
        <w:t>).</w:t>
      </w:r>
    </w:p>
    <w:p w14:paraId="0D949628" w14:textId="4CB855FC" w:rsidR="00BE236D" w:rsidRPr="00BE236D" w:rsidRDefault="00BE236D" w:rsidP="00BE236D">
      <w:pPr>
        <w:pStyle w:val="ListParagraph"/>
        <w:numPr>
          <w:ilvl w:val="0"/>
          <w:numId w:val="13"/>
        </w:numPr>
        <w:spacing w:after="240"/>
        <w:rPr>
          <w:rFonts w:ascii="Times New Roman" w:hAnsi="Times New Roman" w:cs="Times New Roman"/>
          <w:noProof/>
          <w:sz w:val="24"/>
          <w:szCs w:val="24"/>
        </w:rPr>
      </w:pPr>
      <w:r w:rsidRPr="00BE236D">
        <w:rPr>
          <w:rFonts w:ascii="Times New Roman" w:hAnsi="Times New Roman" w:cs="Times New Roman"/>
          <w:noProof/>
          <w:sz w:val="24"/>
          <w:szCs w:val="24"/>
        </w:rPr>
        <w:t xml:space="preserve">The deficit with Mexico increased $1.0 billion to $6.6 billion in February. Exports decreased </w:t>
      </w:r>
      <w:r>
        <w:rPr>
          <w:rFonts w:ascii="Times New Roman" w:hAnsi="Times New Roman" w:cs="Times New Roman"/>
          <w:noProof/>
          <w:sz w:val="24"/>
          <w:szCs w:val="24"/>
        </w:rPr>
        <w:t>less than $0.1</w:t>
      </w:r>
      <w:r w:rsidRPr="00BE236D">
        <w:rPr>
          <w:rFonts w:ascii="Times New Roman" w:hAnsi="Times New Roman" w:cs="Times New Roman"/>
          <w:noProof/>
          <w:sz w:val="24"/>
          <w:szCs w:val="24"/>
        </w:rPr>
        <w:t xml:space="preserve"> billion to $21.9 billion and imports increased $0.9 billion to $28.5 billion.</w:t>
      </w:r>
    </w:p>
    <w:p w14:paraId="584F41F4" w14:textId="4B1A6252" w:rsidR="008531F0" w:rsidRPr="00BE236D" w:rsidRDefault="00BE236D" w:rsidP="00BE236D">
      <w:pPr>
        <w:pStyle w:val="ListParagraph"/>
        <w:numPr>
          <w:ilvl w:val="0"/>
          <w:numId w:val="13"/>
        </w:numPr>
        <w:spacing w:after="240"/>
        <w:rPr>
          <w:rFonts w:ascii="Times New Roman" w:hAnsi="Times New Roman" w:cs="Times New Roman"/>
          <w:noProof/>
          <w:sz w:val="24"/>
          <w:szCs w:val="24"/>
        </w:rPr>
      </w:pPr>
      <w:r w:rsidRPr="00BE236D">
        <w:rPr>
          <w:rFonts w:ascii="Times New Roman" w:hAnsi="Times New Roman" w:cs="Times New Roman"/>
          <w:noProof/>
          <w:sz w:val="24"/>
          <w:szCs w:val="24"/>
        </w:rPr>
        <w:t>The deficit with Germany increased $0.4 billion to $6.7 billion in February. Exports decreased $0.2 billion to $4.7 billion and imports increased $0.2 billion to $11.3 billion.</w:t>
      </w:r>
    </w:p>
    <w:p w14:paraId="59271560" w14:textId="06CF2CB2" w:rsidR="008531F0" w:rsidRPr="00B25A97" w:rsidRDefault="00BE236D" w:rsidP="00B25A97">
      <w:pPr>
        <w:pStyle w:val="ListParagraph"/>
        <w:numPr>
          <w:ilvl w:val="0"/>
          <w:numId w:val="13"/>
        </w:numPr>
        <w:spacing w:after="240"/>
        <w:rPr>
          <w:rFonts w:ascii="Times New Roman" w:hAnsi="Times New Roman" w:cs="Times New Roman"/>
          <w:noProof/>
          <w:sz w:val="24"/>
          <w:szCs w:val="24"/>
        </w:rPr>
      </w:pPr>
      <w:r w:rsidRPr="00BE236D">
        <w:rPr>
          <w:rFonts w:ascii="Times New Roman" w:hAnsi="Times New Roman" w:cs="Times New Roman"/>
          <w:noProof/>
          <w:sz w:val="24"/>
          <w:szCs w:val="24"/>
        </w:rPr>
        <w:t>The deficit with Canada decreased $1.2 billion to $0.4 billion in February. Exports increased $1.2 billion to $26.1 billion and imports increase</w:t>
      </w:r>
      <w:r>
        <w:rPr>
          <w:rFonts w:ascii="Times New Roman" w:hAnsi="Times New Roman" w:cs="Times New Roman"/>
          <w:noProof/>
          <w:sz w:val="24"/>
          <w:szCs w:val="24"/>
        </w:rPr>
        <w:t>d less than $0.1 billion to $26.4 billion</w:t>
      </w:r>
      <w:r w:rsidR="008531F0" w:rsidRPr="00BE236D">
        <w:rPr>
          <w:rFonts w:ascii="Times New Roman" w:hAnsi="Times New Roman" w:cs="Times New Roman"/>
          <w:noProof/>
          <w:sz w:val="24"/>
          <w:szCs w:val="24"/>
        </w:rPr>
        <w:t>.</w:t>
      </w:r>
    </w:p>
    <w:p w14:paraId="098023E9" w14:textId="77777777" w:rsidR="001A4DDE" w:rsidRDefault="001A4DDE" w:rsidP="004D177A">
      <w:pPr>
        <w:spacing w:after="240"/>
        <w:ind w:left="-360"/>
        <w:rPr>
          <w:rFonts w:ascii="Times New Roman" w:hAnsi="Times New Roman" w:cs="Times New Roman"/>
          <w:sz w:val="24"/>
          <w:szCs w:val="24"/>
        </w:rPr>
      </w:pPr>
    </w:p>
    <w:p w14:paraId="0BF73891" w14:textId="77777777" w:rsidR="0072725E" w:rsidRDefault="0072725E" w:rsidP="004D177A">
      <w:pPr>
        <w:spacing w:after="240"/>
        <w:ind w:left="-360"/>
        <w:rPr>
          <w:rFonts w:ascii="Times New Roman" w:hAnsi="Times New Roman" w:cs="Times New Roman"/>
          <w:sz w:val="24"/>
          <w:szCs w:val="24"/>
        </w:rPr>
      </w:pPr>
    </w:p>
    <w:p w14:paraId="16ECAFE4" w14:textId="552F204E" w:rsidR="00296E7C" w:rsidRDefault="009E5635" w:rsidP="004D177A">
      <w:pPr>
        <w:spacing w:after="240"/>
        <w:ind w:left="-360"/>
        <w:rPr>
          <w:rFonts w:ascii="Times New Roman" w:hAnsi="Times New Roman" w:cs="Times New Roman"/>
          <w:sz w:val="24"/>
          <w:szCs w:val="24"/>
        </w:rPr>
      </w:pPr>
      <w:r w:rsidRPr="009E5635">
        <w:rPr>
          <w:rFonts w:ascii="Times New Roman" w:hAnsi="Times New Roman" w:cs="Times New Roman"/>
          <w:sz w:val="24"/>
          <w:szCs w:val="24"/>
        </w:rPr>
        <w:lastRenderedPageBreak/>
        <w:t>All statistics referenced are seasonally adjusted; statistics are on a balance of payments basis unless otherwise specified.</w:t>
      </w:r>
      <w:r w:rsidRPr="009E5635">
        <w:t xml:space="preserve"> </w:t>
      </w:r>
      <w:r w:rsidRPr="009E5635">
        <w:rPr>
          <w:rFonts w:ascii="Times New Roman" w:hAnsi="Times New Roman" w:cs="Times New Roman"/>
          <w:sz w:val="24"/>
          <w:szCs w:val="24"/>
        </w:rPr>
        <w:t>Addit</w:t>
      </w:r>
      <w:r>
        <w:rPr>
          <w:rFonts w:ascii="Times New Roman" w:hAnsi="Times New Roman" w:cs="Times New Roman"/>
          <w:sz w:val="24"/>
          <w:szCs w:val="24"/>
        </w:rPr>
        <w:t xml:space="preserve">ional statistics, including not </w:t>
      </w:r>
      <w:r w:rsidRPr="009E5635">
        <w:rPr>
          <w:rFonts w:ascii="Times New Roman" w:hAnsi="Times New Roman" w:cs="Times New Roman"/>
          <w:sz w:val="24"/>
          <w:szCs w:val="24"/>
        </w:rPr>
        <w:t>seasonally adjusted statistics and details for goods on a Census basis, are available in Exhibits 1-20b of this release.</w:t>
      </w:r>
      <w:r w:rsidR="00926E73" w:rsidRPr="00926E73">
        <w:t xml:space="preserve"> </w:t>
      </w:r>
      <w:r w:rsidR="00926E73" w:rsidRPr="00926E73">
        <w:rPr>
          <w:rFonts w:ascii="Times New Roman" w:hAnsi="Times New Roman" w:cs="Times New Roman"/>
          <w:sz w:val="24"/>
          <w:szCs w:val="24"/>
        </w:rPr>
        <w:t>For informatio</w:t>
      </w:r>
      <w:r w:rsidR="00926E73">
        <w:rPr>
          <w:rFonts w:ascii="Times New Roman" w:hAnsi="Times New Roman" w:cs="Times New Roman"/>
          <w:sz w:val="24"/>
          <w:szCs w:val="24"/>
        </w:rPr>
        <w:t xml:space="preserve">n on data sources, definitions, </w:t>
      </w:r>
      <w:r w:rsidR="00DF06E3">
        <w:rPr>
          <w:rFonts w:ascii="Times New Roman" w:hAnsi="Times New Roman" w:cs="Times New Roman"/>
          <w:sz w:val="24"/>
          <w:szCs w:val="24"/>
        </w:rPr>
        <w:t xml:space="preserve">and </w:t>
      </w:r>
      <w:r w:rsidR="00926E73">
        <w:rPr>
          <w:rFonts w:ascii="Times New Roman" w:hAnsi="Times New Roman" w:cs="Times New Roman"/>
          <w:sz w:val="24"/>
          <w:szCs w:val="24"/>
        </w:rPr>
        <w:t>revision p</w:t>
      </w:r>
      <w:r w:rsidR="00D81ACE">
        <w:rPr>
          <w:rFonts w:ascii="Times New Roman" w:hAnsi="Times New Roman" w:cs="Times New Roman"/>
          <w:sz w:val="24"/>
          <w:szCs w:val="24"/>
        </w:rPr>
        <w:t>rocedures, see the explanatory n</w:t>
      </w:r>
      <w:r w:rsidR="00926E73">
        <w:rPr>
          <w:rFonts w:ascii="Times New Roman" w:hAnsi="Times New Roman" w:cs="Times New Roman"/>
          <w:sz w:val="24"/>
          <w:szCs w:val="24"/>
        </w:rPr>
        <w:t>otes</w:t>
      </w:r>
      <w:r w:rsidR="00D81ACE">
        <w:rPr>
          <w:rFonts w:ascii="Times New Roman" w:hAnsi="Times New Roman" w:cs="Times New Roman"/>
          <w:sz w:val="24"/>
          <w:szCs w:val="24"/>
        </w:rPr>
        <w:t xml:space="preserve"> in this release</w:t>
      </w:r>
      <w:r w:rsidR="00926E73" w:rsidRPr="00926E73">
        <w:rPr>
          <w:rFonts w:ascii="Times New Roman" w:hAnsi="Times New Roman" w:cs="Times New Roman"/>
          <w:sz w:val="24"/>
          <w:szCs w:val="24"/>
        </w:rPr>
        <w:t>.</w:t>
      </w:r>
      <w:r w:rsidR="00D81ACE" w:rsidRPr="00D81ACE">
        <w:rPr>
          <w:rFonts w:ascii="Times New Roman" w:hAnsi="Times New Roman" w:cs="Times New Roman"/>
          <w:sz w:val="24"/>
          <w:szCs w:val="24"/>
        </w:rPr>
        <w:t xml:space="preserve"> </w:t>
      </w:r>
      <w:r w:rsidR="00D81ACE" w:rsidRPr="00415EAA">
        <w:rPr>
          <w:rFonts w:ascii="Times New Roman" w:hAnsi="Times New Roman" w:cs="Times New Roman"/>
          <w:sz w:val="24"/>
          <w:szCs w:val="24"/>
        </w:rPr>
        <w:t xml:space="preserve">The full </w:t>
      </w:r>
      <w:r w:rsidR="00EE1F45">
        <w:rPr>
          <w:rFonts w:ascii="Times New Roman" w:hAnsi="Times New Roman" w:cs="Times New Roman"/>
          <w:sz w:val="24"/>
          <w:szCs w:val="24"/>
        </w:rPr>
        <w:t xml:space="preserve">release </w:t>
      </w:r>
      <w:r w:rsidR="00D81ACE" w:rsidRPr="00415EAA">
        <w:rPr>
          <w:rFonts w:ascii="Times New Roman" w:hAnsi="Times New Roman" w:cs="Times New Roman"/>
          <w:sz w:val="24"/>
          <w:szCs w:val="24"/>
        </w:rPr>
        <w:t>can be found at</w:t>
      </w:r>
      <w:r w:rsidR="00D81ACE">
        <w:rPr>
          <w:rFonts w:ascii="Calibri" w:hAnsi="Calibri"/>
          <w:color w:val="000000"/>
        </w:rPr>
        <w:t xml:space="preserve"> </w:t>
      </w:r>
      <w:r w:rsidR="00D81ACE" w:rsidRPr="00CE7B90">
        <w:rPr>
          <w:rStyle w:val="Hyperlink"/>
          <w:rFonts w:ascii="Times New Roman" w:hAnsi="Times New Roman" w:cs="Times New Roman"/>
          <w:sz w:val="24"/>
          <w:szCs w:val="24"/>
        </w:rPr>
        <w:t>www.census.gov/foreign-trade/Press-Release/current_press_release/index.html</w:t>
      </w:r>
      <w:r w:rsidR="00D81ACE">
        <w:rPr>
          <w:rFonts w:ascii="Times New Roman" w:hAnsi="Times New Roman" w:cs="Times New Roman"/>
          <w:sz w:val="24"/>
          <w:szCs w:val="24"/>
        </w:rPr>
        <w:t xml:space="preserve"> or </w:t>
      </w:r>
      <w:hyperlink r:id="rId21" w:history="1">
        <w:r w:rsidR="00D81ACE" w:rsidRPr="009F6C70">
          <w:rPr>
            <w:rStyle w:val="Hyperlink"/>
            <w:rFonts w:ascii="Times New Roman" w:hAnsi="Times New Roman" w:cs="Times New Roman"/>
            <w:sz w:val="24"/>
          </w:rPr>
          <w:t>www.bea.gov/newsreleases/international/trade/tradnewsrelease.htm</w:t>
        </w:r>
      </w:hyperlink>
      <w:r w:rsidR="00D81ACE">
        <w:rPr>
          <w:rFonts w:ascii="Times New Roman" w:hAnsi="Times New Roman" w:cs="Times New Roman"/>
        </w:rPr>
        <w:t>.</w:t>
      </w:r>
      <w:r>
        <w:rPr>
          <w:rFonts w:ascii="Times New Roman" w:hAnsi="Times New Roman" w:cs="Times New Roman"/>
          <w:sz w:val="24"/>
          <w:szCs w:val="24"/>
        </w:rPr>
        <w:t xml:space="preserve"> </w:t>
      </w:r>
      <w:r w:rsidR="003E19CE" w:rsidRPr="003E19CE">
        <w:rPr>
          <w:rFonts w:ascii="Times New Roman" w:hAnsi="Times New Roman" w:cs="Times New Roman"/>
          <w:sz w:val="24"/>
          <w:szCs w:val="24"/>
        </w:rPr>
        <w:t>The March 2018 U.S. International Trade in Goods and Services report is scheduled for release on May 3, 2018.</w:t>
      </w:r>
      <w:r w:rsidR="00455B50">
        <w:rPr>
          <w:rFonts w:ascii="Times New Roman" w:hAnsi="Times New Roman" w:cs="Times New Roman"/>
          <w:sz w:val="24"/>
          <w:szCs w:val="24"/>
        </w:rPr>
        <w:t xml:space="preserve"> </w:t>
      </w:r>
      <w:r w:rsidR="00D81ACE">
        <w:rPr>
          <w:rFonts w:ascii="Times New Roman" w:hAnsi="Times New Roman" w:cs="Times New Roman"/>
          <w:sz w:val="24"/>
          <w:szCs w:val="24"/>
        </w:rPr>
        <w:t>T</w:t>
      </w:r>
      <w:r w:rsidR="00EC5947" w:rsidRPr="00BB7CC6">
        <w:rPr>
          <w:rFonts w:ascii="Times New Roman" w:hAnsi="Times New Roman" w:cs="Times New Roman"/>
          <w:sz w:val="24"/>
          <w:szCs w:val="24"/>
        </w:rPr>
        <w:t xml:space="preserve">he full schedule </w:t>
      </w:r>
      <w:r w:rsidR="00D81ACE">
        <w:rPr>
          <w:rFonts w:ascii="Times New Roman" w:hAnsi="Times New Roman" w:cs="Times New Roman"/>
          <w:sz w:val="24"/>
          <w:szCs w:val="24"/>
        </w:rPr>
        <w:t xml:space="preserve">is available </w:t>
      </w:r>
      <w:r w:rsidR="00EC5947" w:rsidRPr="00BB7CC6">
        <w:rPr>
          <w:rFonts w:ascii="Times New Roman" w:hAnsi="Times New Roman" w:cs="Times New Roman"/>
          <w:sz w:val="24"/>
          <w:szCs w:val="24"/>
        </w:rPr>
        <w:t xml:space="preserve">in the </w:t>
      </w:r>
      <w:r w:rsidR="00466547">
        <w:rPr>
          <w:rFonts w:ascii="Times New Roman" w:hAnsi="Times New Roman" w:cs="Times New Roman"/>
          <w:sz w:val="24"/>
          <w:szCs w:val="24"/>
        </w:rPr>
        <w:t xml:space="preserve">Census Bureau’s </w:t>
      </w:r>
      <w:r w:rsidR="00EC5947" w:rsidRPr="00BB7CC6">
        <w:rPr>
          <w:rFonts w:ascii="Times New Roman" w:hAnsi="Times New Roman" w:cs="Times New Roman"/>
          <w:sz w:val="24"/>
          <w:szCs w:val="24"/>
        </w:rPr>
        <w:t>Economic Briefing Room</w:t>
      </w:r>
      <w:r w:rsidR="00466547">
        <w:rPr>
          <w:rFonts w:ascii="Times New Roman" w:hAnsi="Times New Roman" w:cs="Times New Roman"/>
          <w:sz w:val="24"/>
          <w:szCs w:val="24"/>
        </w:rPr>
        <w:t xml:space="preserve"> at </w:t>
      </w:r>
      <w:hyperlink r:id="rId22" w:history="1">
        <w:r w:rsidR="00EC5947" w:rsidRPr="00C352D6">
          <w:rPr>
            <w:rStyle w:val="Hyperlink"/>
            <w:rFonts w:ascii="Times New Roman" w:hAnsi="Times New Roman" w:cs="Times New Roman"/>
            <w:sz w:val="24"/>
            <w:szCs w:val="24"/>
          </w:rPr>
          <w:t>www.census.gov/economic-indicators/</w:t>
        </w:r>
      </w:hyperlink>
      <w:r w:rsidR="00EC5947" w:rsidRPr="00C352D6">
        <w:rPr>
          <w:rFonts w:ascii="Times New Roman" w:hAnsi="Times New Roman" w:cs="Times New Roman"/>
          <w:sz w:val="24"/>
          <w:szCs w:val="24"/>
        </w:rPr>
        <w:t>.</w:t>
      </w:r>
      <w:r w:rsidR="00464363">
        <w:rPr>
          <w:rFonts w:ascii="Times New Roman" w:hAnsi="Times New Roman" w:cs="Times New Roman"/>
          <w:sz w:val="24"/>
          <w:szCs w:val="24"/>
        </w:rPr>
        <w:t xml:space="preserve"> </w:t>
      </w:r>
    </w:p>
    <w:p w14:paraId="1B3E5417" w14:textId="77777777" w:rsidR="00DB45D8" w:rsidRDefault="00DB45D8" w:rsidP="00395B72">
      <w:pPr>
        <w:spacing w:after="120"/>
        <w:jc w:val="center"/>
        <w:rPr>
          <w:rFonts w:ascii="Times New Roman" w:hAnsi="Times New Roman" w:cs="Times New Roman"/>
          <w:b/>
          <w:bCs/>
          <w:sz w:val="24"/>
          <w:szCs w:val="24"/>
        </w:rPr>
      </w:pPr>
    </w:p>
    <w:p w14:paraId="6E16AD06" w14:textId="77777777" w:rsidR="00DB45D8" w:rsidRDefault="00DB45D8" w:rsidP="00395B72">
      <w:pPr>
        <w:spacing w:after="120"/>
        <w:jc w:val="center"/>
        <w:rPr>
          <w:rFonts w:ascii="Times New Roman" w:hAnsi="Times New Roman" w:cs="Times New Roman"/>
          <w:b/>
          <w:bCs/>
          <w:sz w:val="24"/>
          <w:szCs w:val="24"/>
        </w:rPr>
      </w:pPr>
    </w:p>
    <w:p w14:paraId="3F8267F8" w14:textId="7933ED1C" w:rsidR="00DB45D8" w:rsidRDefault="00DB45D8" w:rsidP="00395B72">
      <w:pPr>
        <w:spacing w:after="120"/>
        <w:jc w:val="center"/>
        <w:rPr>
          <w:rFonts w:ascii="Times New Roman" w:hAnsi="Times New Roman" w:cs="Times New Roman"/>
          <w:b/>
          <w:bCs/>
          <w:sz w:val="24"/>
          <w:szCs w:val="24"/>
        </w:rPr>
      </w:pPr>
    </w:p>
    <w:p w14:paraId="581C4767" w14:textId="4FEC1A8D" w:rsidR="00A82ABB" w:rsidRDefault="00A82ABB" w:rsidP="00395B72">
      <w:pPr>
        <w:spacing w:after="120"/>
        <w:jc w:val="center"/>
        <w:rPr>
          <w:rFonts w:ascii="Times New Roman" w:hAnsi="Times New Roman" w:cs="Times New Roman"/>
          <w:b/>
          <w:bCs/>
          <w:sz w:val="24"/>
          <w:szCs w:val="24"/>
        </w:rPr>
      </w:pPr>
    </w:p>
    <w:p w14:paraId="2FC36EC9" w14:textId="777DED82" w:rsidR="00A82ABB" w:rsidRDefault="00A82ABB" w:rsidP="00395B72">
      <w:pPr>
        <w:spacing w:after="120"/>
        <w:jc w:val="center"/>
        <w:rPr>
          <w:rFonts w:ascii="Times New Roman" w:hAnsi="Times New Roman" w:cs="Times New Roman"/>
          <w:b/>
          <w:bCs/>
          <w:sz w:val="24"/>
          <w:szCs w:val="24"/>
        </w:rPr>
      </w:pPr>
    </w:p>
    <w:p w14:paraId="350D81EC" w14:textId="77777777" w:rsidR="00A82ABB" w:rsidRDefault="00A82ABB" w:rsidP="00395B72">
      <w:pPr>
        <w:spacing w:after="120"/>
        <w:jc w:val="center"/>
        <w:rPr>
          <w:rFonts w:ascii="Times New Roman" w:hAnsi="Times New Roman" w:cs="Times New Roman"/>
          <w:b/>
          <w:bCs/>
          <w:sz w:val="24"/>
          <w:szCs w:val="24"/>
        </w:rPr>
      </w:pPr>
    </w:p>
    <w:p w14:paraId="0F639A08" w14:textId="6499DAF3" w:rsidR="00395B72" w:rsidRDefault="00395B72" w:rsidP="00EE1F45">
      <w:pPr>
        <w:rPr>
          <w:rFonts w:ascii="Times New Roman" w:hAnsi="Times New Roman" w:cs="Times New Roman"/>
          <w:sz w:val="24"/>
          <w:szCs w:val="24"/>
        </w:rPr>
      </w:pPr>
      <w:r>
        <w:rPr>
          <w:rFonts w:ascii="Times New Roman" w:hAnsi="Times New Roman" w:cs="Times New Roman"/>
          <w:sz w:val="24"/>
          <w:szCs w:val="24"/>
        </w:rPr>
        <w:br w:type="page"/>
      </w:r>
    </w:p>
    <w:p w14:paraId="6B019B5A" w14:textId="18104082" w:rsidR="004E4622" w:rsidRDefault="004E4622" w:rsidP="001705DB">
      <w:pPr>
        <w:spacing w:after="120"/>
        <w:ind w:left="-360"/>
        <w:rPr>
          <w:rFonts w:ascii="Arial" w:hAnsi="Arial" w:cs="Arial"/>
          <w:b/>
          <w:sz w:val="24"/>
        </w:rPr>
      </w:pPr>
      <w:r>
        <w:rPr>
          <w:rFonts w:ascii="Arial" w:hAnsi="Arial" w:cs="Arial"/>
          <w:b/>
          <w:sz w:val="24"/>
        </w:rPr>
        <w:lastRenderedPageBreak/>
        <w:t>NOTICE</w:t>
      </w:r>
    </w:p>
    <w:p w14:paraId="327F3C6D" w14:textId="77777777" w:rsidR="00B8340F" w:rsidRPr="00B8340F" w:rsidRDefault="00B8340F" w:rsidP="00B8340F">
      <w:pPr>
        <w:spacing w:after="0"/>
        <w:ind w:left="-360"/>
        <w:rPr>
          <w:rFonts w:ascii="Arial" w:hAnsi="Arial" w:cs="Arial"/>
          <w:b/>
          <w:bCs/>
          <w:iCs/>
          <w:sz w:val="24"/>
          <w:szCs w:val="24"/>
        </w:rPr>
      </w:pPr>
      <w:r w:rsidRPr="00B8340F">
        <w:rPr>
          <w:rFonts w:ascii="Arial" w:hAnsi="Arial" w:cs="Arial"/>
          <w:b/>
          <w:bCs/>
          <w:iCs/>
          <w:sz w:val="24"/>
          <w:szCs w:val="24"/>
        </w:rPr>
        <w:t>Upcoming Updates to Goods and Services</w:t>
      </w:r>
    </w:p>
    <w:p w14:paraId="20BBE231" w14:textId="1D792CBD" w:rsidR="00B8340F" w:rsidRDefault="00B8340F" w:rsidP="00465679">
      <w:pPr>
        <w:spacing w:after="120"/>
        <w:ind w:left="-360"/>
        <w:rPr>
          <w:rFonts w:ascii="Times New Roman" w:hAnsi="Times New Roman" w:cs="Times New Roman"/>
          <w:sz w:val="24"/>
          <w:szCs w:val="24"/>
        </w:rPr>
      </w:pPr>
      <w:r w:rsidRPr="00B8340F">
        <w:rPr>
          <w:rFonts w:ascii="Times New Roman" w:hAnsi="Times New Roman" w:cs="Times New Roman"/>
          <w:sz w:val="24"/>
          <w:szCs w:val="24"/>
        </w:rPr>
        <w:t xml:space="preserve">On June 6, 2018, the U.S. Census Bureau and the U.S. Bureau of Economic Analysis (BEA) will release “U.S. International Trade in Goods and Services: April 2018” (FT-900) and “U.S. International Trade in Goods and Services: Annual Revision” (FT-900 Annual Revision). With these releases, statistics on trade in goods on a Census basis will be revised beginning with 2015, and statistics on trade in goods on a balance of payments (BOP) basis and on trade in services will be revised beginning with 2010. The revised statistics for goods on a BOP basis and for services will also be included in the “U.S. International Transactions: First Quarter 2018 and Annual Update” report and in the </w:t>
      </w:r>
      <w:hyperlink r:id="rId23" w:history="1">
        <w:r w:rsidRPr="00426B2E">
          <w:rPr>
            <w:rStyle w:val="Hyperlink"/>
            <w:rFonts w:ascii="Times New Roman" w:hAnsi="Times New Roman" w:cs="Times New Roman"/>
            <w:sz w:val="24"/>
            <w:szCs w:val="24"/>
          </w:rPr>
          <w:t>international transactions interactive database</w:t>
        </w:r>
      </w:hyperlink>
      <w:r w:rsidRPr="00B8340F">
        <w:rPr>
          <w:rFonts w:ascii="Times New Roman" w:hAnsi="Times New Roman" w:cs="Times New Roman"/>
          <w:sz w:val="24"/>
          <w:szCs w:val="24"/>
        </w:rPr>
        <w:t>, both to be released by BEA on June 20, 2018.</w:t>
      </w:r>
    </w:p>
    <w:p w14:paraId="26771E4A" w14:textId="0626704C" w:rsidR="00B8340F" w:rsidRDefault="00B8340F" w:rsidP="00686795">
      <w:pPr>
        <w:spacing w:after="120"/>
        <w:ind w:left="-360"/>
        <w:rPr>
          <w:rFonts w:cs="Times New Roman"/>
        </w:rPr>
      </w:pPr>
      <w:r w:rsidRPr="00B8340F">
        <w:rPr>
          <w:rFonts w:ascii="Times New Roman" w:hAnsi="Times New Roman" w:cs="Times New Roman"/>
          <w:sz w:val="24"/>
          <w:szCs w:val="24"/>
        </w:rPr>
        <w:t>Revised statistics on trade in goods on a Census basis will reflect 1) corrections and adjustments to previously published not seasonally adjusted statistics, 2) reclassifications of several end-use commodities, and 3) recalculated seasonal and trading-day adjustments.</w:t>
      </w:r>
    </w:p>
    <w:p w14:paraId="46461CDA" w14:textId="33EF77CC" w:rsidR="00CF7FE4" w:rsidRDefault="00CF7FE4" w:rsidP="00465679">
      <w:pPr>
        <w:spacing w:after="120"/>
        <w:ind w:left="-360"/>
        <w:rPr>
          <w:rFonts w:ascii="Times New Roman" w:hAnsi="Times New Roman" w:cs="Times New Roman"/>
          <w:sz w:val="24"/>
          <w:szCs w:val="24"/>
        </w:rPr>
      </w:pPr>
      <w:r w:rsidRPr="00147210">
        <w:rPr>
          <w:rFonts w:ascii="Times New Roman" w:hAnsi="Times New Roman" w:cs="Times New Roman"/>
          <w:sz w:val="24"/>
          <w:szCs w:val="24"/>
        </w:rPr>
        <w:t xml:space="preserve">In addition to revisions to goods on a Census basis, revised statistics on goods on a BOP basis will reflect revised BOP adjustments, which are adjustments that BEA applies to goods on a Census basis to convert them to a BOP basis. </w:t>
      </w:r>
      <w:bookmarkStart w:id="1" w:name="x__Hlk510605804"/>
      <w:r w:rsidRPr="00147210">
        <w:rPr>
          <w:rFonts w:ascii="Times New Roman" w:hAnsi="Times New Roman" w:cs="Times New Roman"/>
          <w:sz w:val="24"/>
          <w:szCs w:val="24"/>
        </w:rPr>
        <w:t xml:space="preserve">With this annual update, BOP adjustments for estimating exports through the Foreign </w:t>
      </w:r>
      <w:bookmarkStart w:id="2" w:name="_GoBack"/>
      <w:bookmarkEnd w:id="2"/>
      <w:r w:rsidRPr="00147210">
        <w:rPr>
          <w:rFonts w:ascii="Times New Roman" w:hAnsi="Times New Roman" w:cs="Times New Roman"/>
          <w:sz w:val="24"/>
          <w:szCs w:val="24"/>
        </w:rPr>
        <w:t>Military Sales (FMS) program will be discontinued because the Census-basis goods data now provide more complete coverage of these exports.</w:t>
      </w:r>
      <w:bookmarkEnd w:id="1"/>
      <w:r w:rsidRPr="00147210">
        <w:rPr>
          <w:rFonts w:ascii="Times New Roman" w:hAnsi="Times New Roman" w:cs="Times New Roman"/>
          <w:sz w:val="24"/>
          <w:szCs w:val="24"/>
        </w:rPr>
        <w:t xml:space="preserve"> BEA will use the Census-basis exports as the source for FMS goods for statistics beginning with 2010. Other revisions to BOP adjustments will reflect newly available and revised source data and recalculated seasonal and trading-day adjustments beginning with 2015. For more information on BOP adjustments, see the “Goods (balance of payments basis)” section in the explanatory notes</w:t>
      </w:r>
      <w:r w:rsidR="00147210">
        <w:rPr>
          <w:rFonts w:ascii="Times New Roman" w:hAnsi="Times New Roman" w:cs="Times New Roman"/>
          <w:sz w:val="24"/>
          <w:szCs w:val="24"/>
        </w:rPr>
        <w:t>.</w:t>
      </w:r>
    </w:p>
    <w:p w14:paraId="2EBC5CE2" w14:textId="0BAEB721" w:rsidR="00B8340F" w:rsidRPr="00686795" w:rsidRDefault="00B8340F" w:rsidP="00686795">
      <w:pPr>
        <w:spacing w:after="120"/>
        <w:ind w:left="-360"/>
        <w:rPr>
          <w:rFonts w:ascii="Times New Roman" w:hAnsi="Times New Roman" w:cs="Times New Roman"/>
          <w:sz w:val="24"/>
          <w:szCs w:val="24"/>
        </w:rPr>
      </w:pPr>
      <w:r w:rsidRPr="00686795">
        <w:rPr>
          <w:rFonts w:ascii="Times New Roman" w:hAnsi="Times New Roman" w:cs="Times New Roman"/>
          <w:sz w:val="24"/>
          <w:szCs w:val="24"/>
        </w:rPr>
        <w:t>Revised statistics on trade in services will reflect 1) a new method for estimating goods and services transferred through military grant programs, 2) newly available and revised source data, primarily from BEA’s surveys of international services transactions, 3) recalculated seasonal adjustments, and 4) revised temporal distributions of quarterly source data to monthly statistics (see the “Services” section in the explanatory notes for more information). Exports will be revised beginning with 2010 and imports will be revised beginning with 2013.</w:t>
      </w:r>
    </w:p>
    <w:p w14:paraId="0B441675" w14:textId="3670DF18" w:rsidR="00B8340F" w:rsidRPr="00686795" w:rsidRDefault="00B8340F" w:rsidP="00686795">
      <w:pPr>
        <w:spacing w:after="120"/>
        <w:ind w:left="-360"/>
        <w:rPr>
          <w:rFonts w:ascii="Times New Roman" w:hAnsi="Times New Roman" w:cs="Times New Roman"/>
          <w:sz w:val="24"/>
          <w:szCs w:val="24"/>
        </w:rPr>
      </w:pPr>
      <w:r w:rsidRPr="00686795">
        <w:rPr>
          <w:rFonts w:ascii="Times New Roman" w:hAnsi="Times New Roman" w:cs="Times New Roman"/>
          <w:sz w:val="24"/>
          <w:szCs w:val="24"/>
        </w:rPr>
        <w:t xml:space="preserve">An article previewing BEA’s 2018 annual update of the international transactions accounts will appear in the May 2018 issue of the </w:t>
      </w:r>
      <w:hyperlink r:id="rId24" w:history="1">
        <w:r w:rsidR="003476E6" w:rsidRPr="003476E6">
          <w:rPr>
            <w:rStyle w:val="Hyperlink"/>
            <w:rFonts w:ascii="Times New Roman" w:hAnsi="Times New Roman" w:cs="Times New Roman"/>
            <w:i/>
            <w:sz w:val="24"/>
            <w:szCs w:val="24"/>
          </w:rPr>
          <w:t>Survey of Current Business</w:t>
        </w:r>
      </w:hyperlink>
      <w:r w:rsidRPr="00686795">
        <w:rPr>
          <w:rFonts w:ascii="Times New Roman" w:hAnsi="Times New Roman" w:cs="Times New Roman"/>
          <w:sz w:val="24"/>
          <w:szCs w:val="24"/>
        </w:rPr>
        <w:t xml:space="preserve">. If you have questions, please contact BEA, Balance of Payments Division, at </w:t>
      </w:r>
      <w:hyperlink r:id="rId25" w:history="1">
        <w:r w:rsidR="003476E6" w:rsidRPr="003476E6">
          <w:rPr>
            <w:rStyle w:val="Hyperlink"/>
            <w:rFonts w:ascii="Times New Roman" w:hAnsi="Times New Roman" w:cs="Times New Roman"/>
            <w:sz w:val="24"/>
            <w:szCs w:val="24"/>
          </w:rPr>
          <w:t>InternationalAccounts@bea.gov</w:t>
        </w:r>
      </w:hyperlink>
      <w:r w:rsidRPr="00686795">
        <w:rPr>
          <w:rFonts w:ascii="Times New Roman" w:hAnsi="Times New Roman" w:cs="Times New Roman"/>
          <w:sz w:val="24"/>
          <w:szCs w:val="24"/>
        </w:rPr>
        <w:t>.</w:t>
      </w:r>
    </w:p>
    <w:p w14:paraId="4E1E3D80" w14:textId="77777777" w:rsidR="00B8340F" w:rsidRDefault="00B8340F" w:rsidP="00B8340F">
      <w:pPr>
        <w:pStyle w:val="BasicParagraph"/>
        <w:spacing w:line="240" w:lineRule="auto"/>
        <w:rPr>
          <w:rFonts w:asciiTheme="minorHAnsi" w:hAnsiTheme="minorHAnsi" w:cs="Times New Roman"/>
          <w:color w:val="auto"/>
          <w:sz w:val="22"/>
          <w:szCs w:val="22"/>
        </w:rPr>
      </w:pPr>
    </w:p>
    <w:p w14:paraId="6064C2EE" w14:textId="77777777" w:rsidR="00AB595D" w:rsidRDefault="00AB595D" w:rsidP="00426B2E">
      <w:pPr>
        <w:spacing w:after="0"/>
        <w:ind w:left="-360"/>
        <w:rPr>
          <w:rFonts w:ascii="Arial" w:hAnsi="Arial" w:cs="Arial"/>
          <w:b/>
          <w:bCs/>
          <w:iCs/>
          <w:sz w:val="24"/>
          <w:szCs w:val="24"/>
        </w:rPr>
      </w:pPr>
    </w:p>
    <w:p w14:paraId="6490D2CF" w14:textId="30C3BE35" w:rsidR="00B8340F" w:rsidRPr="003F1787" w:rsidRDefault="00B8340F" w:rsidP="00426B2E">
      <w:pPr>
        <w:spacing w:after="0"/>
        <w:ind w:left="-360"/>
        <w:rPr>
          <w:rFonts w:cs="Times New Roman"/>
        </w:rPr>
      </w:pPr>
      <w:r w:rsidRPr="00686795">
        <w:rPr>
          <w:rFonts w:ascii="Arial" w:hAnsi="Arial" w:cs="Arial"/>
          <w:b/>
          <w:bCs/>
          <w:iCs/>
          <w:sz w:val="24"/>
          <w:szCs w:val="24"/>
        </w:rPr>
        <w:t>Upcoming Change to the Real (Chained-Dollar) Series</w:t>
      </w:r>
    </w:p>
    <w:p w14:paraId="0CBD2BF6" w14:textId="27C97819" w:rsidR="00B8340F" w:rsidRDefault="00B8340F" w:rsidP="00686795">
      <w:pPr>
        <w:spacing w:after="120"/>
        <w:ind w:left="-360"/>
      </w:pPr>
      <w:r w:rsidRPr="00686795">
        <w:rPr>
          <w:rFonts w:ascii="Times New Roman" w:hAnsi="Times New Roman" w:cs="Times New Roman"/>
          <w:sz w:val="24"/>
          <w:szCs w:val="24"/>
        </w:rPr>
        <w:t xml:space="preserve">With the releases of the FT-900 and the FT-900 Annual Revision on June 6, 2018, the reference year for the chained-dollar series will be updated to 2012 from 2009 to reference the time series on prices from a more recent year. The </w:t>
      </w:r>
      <w:hyperlink r:id="rId26" w:history="1">
        <w:r w:rsidRPr="003476E6">
          <w:rPr>
            <w:rStyle w:val="Hyperlink"/>
            <w:rFonts w:ascii="Times New Roman" w:hAnsi="Times New Roman" w:cs="Times New Roman"/>
            <w:sz w:val="24"/>
            <w:szCs w:val="24"/>
          </w:rPr>
          <w:t>historical chained-dollar series</w:t>
        </w:r>
      </w:hyperlink>
      <w:r w:rsidRPr="00686795">
        <w:rPr>
          <w:rFonts w:ascii="Times New Roman" w:hAnsi="Times New Roman" w:cs="Times New Roman"/>
          <w:sz w:val="24"/>
          <w:szCs w:val="24"/>
        </w:rPr>
        <w:t>, which begin in 1994, will also be revised to reflect the new reference year. See the “Adjustments for price change” section in the explanatory notes for more information.</w:t>
      </w:r>
    </w:p>
    <w:p w14:paraId="504C3EFA" w14:textId="77777777" w:rsidR="00B8340F" w:rsidRPr="00686795" w:rsidRDefault="00B8340F" w:rsidP="00686795">
      <w:pPr>
        <w:spacing w:after="120"/>
        <w:ind w:left="-360"/>
        <w:rPr>
          <w:rFonts w:ascii="Times New Roman" w:hAnsi="Times New Roman" w:cs="Times New Roman"/>
          <w:sz w:val="24"/>
          <w:szCs w:val="24"/>
        </w:rPr>
      </w:pPr>
      <w:r w:rsidRPr="00686795">
        <w:rPr>
          <w:rFonts w:ascii="Times New Roman" w:hAnsi="Times New Roman" w:cs="Times New Roman"/>
          <w:sz w:val="24"/>
          <w:szCs w:val="24"/>
        </w:rPr>
        <w:t xml:space="preserve">If you have questions, please contact the Census Bureau, Economic Indicators Division, on (800) 549-0595, option 4, or at </w:t>
      </w:r>
      <w:hyperlink r:id="rId27" w:history="1">
        <w:r w:rsidRPr="00426B2E">
          <w:rPr>
            <w:rStyle w:val="Hyperlink"/>
            <w:rFonts w:ascii="Times New Roman" w:hAnsi="Times New Roman" w:cs="Times New Roman"/>
            <w:sz w:val="24"/>
            <w:szCs w:val="24"/>
          </w:rPr>
          <w:t>eid.international.trade.data@census.gov</w:t>
        </w:r>
      </w:hyperlink>
      <w:r w:rsidRPr="00686795">
        <w:rPr>
          <w:rFonts w:ascii="Times New Roman" w:hAnsi="Times New Roman" w:cs="Times New Roman"/>
          <w:sz w:val="24"/>
          <w:szCs w:val="24"/>
        </w:rPr>
        <w:t>.</w:t>
      </w:r>
    </w:p>
    <w:p w14:paraId="4287899A" w14:textId="5BF90ECE" w:rsidR="00F95D3B" w:rsidRDefault="00F95D3B">
      <w:pPr>
        <w:rPr>
          <w:rFonts w:ascii="Arial" w:hAnsi="Arial" w:cs="Arial"/>
          <w:b/>
          <w:sz w:val="24"/>
        </w:rPr>
      </w:pPr>
      <w:r>
        <w:rPr>
          <w:rFonts w:ascii="Arial" w:hAnsi="Arial" w:cs="Arial"/>
          <w:b/>
          <w:sz w:val="24"/>
        </w:rPr>
        <w:br w:type="page"/>
      </w:r>
    </w:p>
    <w:p w14:paraId="4D30FDE0" w14:textId="4A9FAECC" w:rsidR="001705DB" w:rsidRPr="000D454B" w:rsidRDefault="001705DB" w:rsidP="001705DB">
      <w:pPr>
        <w:spacing w:after="120"/>
        <w:ind w:left="-360"/>
        <w:rPr>
          <w:rFonts w:ascii="Arial" w:hAnsi="Arial" w:cs="Arial"/>
          <w:b/>
          <w:sz w:val="24"/>
        </w:rPr>
      </w:pPr>
      <w:r w:rsidRPr="00C15E38">
        <w:rPr>
          <w:rFonts w:ascii="Arial" w:hAnsi="Arial" w:cs="Arial"/>
          <w:b/>
          <w:sz w:val="24"/>
        </w:rPr>
        <w:lastRenderedPageBreak/>
        <w:t>EXPLANATORY NOTES</w:t>
      </w:r>
    </w:p>
    <w:p w14:paraId="6B88485F" w14:textId="77777777" w:rsidR="001705DB" w:rsidRPr="008F1C33" w:rsidRDefault="001705DB" w:rsidP="001705DB">
      <w:pPr>
        <w:spacing w:after="0"/>
        <w:ind w:left="-360"/>
        <w:rPr>
          <w:rFonts w:ascii="Arial" w:hAnsi="Arial" w:cs="Arial"/>
          <w:b/>
          <w:bCs/>
          <w:iCs/>
          <w:sz w:val="24"/>
          <w:szCs w:val="24"/>
        </w:rPr>
      </w:pPr>
      <w:r w:rsidRPr="008F1C33">
        <w:rPr>
          <w:rFonts w:ascii="Arial" w:hAnsi="Arial" w:cs="Arial"/>
          <w:b/>
          <w:bCs/>
          <w:iCs/>
          <w:sz w:val="24"/>
          <w:szCs w:val="24"/>
        </w:rPr>
        <w:t>Goods (Census Basis)</w:t>
      </w:r>
    </w:p>
    <w:p w14:paraId="664D6815"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 xml:space="preserve">Data for goods on a Census basis are compiled from the documents collected by U.S. Customs and Border Protection </w:t>
      </w:r>
      <w:r>
        <w:rPr>
          <w:rFonts w:ascii="Times New Roman" w:hAnsi="Times New Roman" w:cs="Times New Roman"/>
          <w:sz w:val="24"/>
          <w:szCs w:val="24"/>
        </w:rPr>
        <w:t xml:space="preserve">(CBP) </w:t>
      </w:r>
      <w:r w:rsidRPr="00C17602">
        <w:rPr>
          <w:rFonts w:ascii="Times New Roman" w:hAnsi="Times New Roman" w:cs="Times New Roman"/>
          <w:sz w:val="24"/>
          <w:szCs w:val="24"/>
        </w:rPr>
        <w:t>and reflect the movement of goods between foreign countries and the 50 states, the District of Columbia, Puerto Rico, the U.S. Virgin Islands, and U.S. Foreign Trade Zones. They include government and non-government shipments of goods and exclude shipments between the United States and its territories and possessions; transactions with U.S. military, diplomatic, and consular installations abroad; U.S. goods returned to the United States by its Armed Forces; personal and household effects of travelers; and in-transit shipments. The General Imports value reflects the total arrival of merchandise from foreign countries that immediately enters consumption channels, warehouses, or Foreign Trade Zones.</w:t>
      </w:r>
    </w:p>
    <w:p w14:paraId="429EEC55"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 xml:space="preserve">For imports, the value reported is the </w:t>
      </w:r>
      <w:r>
        <w:rPr>
          <w:rFonts w:ascii="Times New Roman" w:hAnsi="Times New Roman" w:cs="Times New Roman"/>
          <w:sz w:val="24"/>
          <w:szCs w:val="24"/>
        </w:rPr>
        <w:t>CBP-</w:t>
      </w:r>
      <w:r w:rsidRPr="00C17602">
        <w:rPr>
          <w:rFonts w:ascii="Times New Roman" w:hAnsi="Times New Roman" w:cs="Times New Roman"/>
          <w:sz w:val="24"/>
          <w:szCs w:val="24"/>
        </w:rPr>
        <w:t>appraised value of merchandise—generally, the price paid for merchandise for export to the United States. Import duties, freight, insurance, and other charges incurred in bringing merchandise to the United States are excluded. The exception is Exhibit 17a, which shows CIF import value. The CIF (cost, insurance, and freight) value represents the landed value of the merchandise at the first port of arrival in the United States. It is computed by adding import charges to the customs value and therefore excludes U.S. import duties.</w:t>
      </w:r>
    </w:p>
    <w:p w14:paraId="65DD58A3"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Exports are valued at the f.a.s. (free alongside ship) value of merchandise at the U.S. port of export, based on the transaction price including inland freight, insurance, and other charges incurred in placing the merchandise alongside the carrier at the U.S. port of exportation.</w:t>
      </w:r>
    </w:p>
    <w:p w14:paraId="779E444C" w14:textId="77777777" w:rsidR="001705DB" w:rsidRPr="008F1C33" w:rsidRDefault="001705DB" w:rsidP="001705DB">
      <w:pPr>
        <w:spacing w:after="0"/>
        <w:ind w:left="-360"/>
        <w:rPr>
          <w:rFonts w:ascii="Arial" w:hAnsi="Arial" w:cs="Arial"/>
          <w:b/>
          <w:i/>
          <w:sz w:val="24"/>
          <w:szCs w:val="24"/>
        </w:rPr>
      </w:pPr>
      <w:r w:rsidRPr="008F1C33">
        <w:rPr>
          <w:rFonts w:ascii="Arial" w:hAnsi="Arial" w:cs="Arial"/>
          <w:b/>
          <w:i/>
          <w:sz w:val="24"/>
          <w:szCs w:val="24"/>
        </w:rPr>
        <w:t>Revision Procedure (Census Basis)</w:t>
      </w:r>
    </w:p>
    <w:p w14:paraId="0DAF04B5" w14:textId="77777777" w:rsidR="001705DB" w:rsidRDefault="001705DB" w:rsidP="001705DB">
      <w:pPr>
        <w:spacing w:after="120"/>
        <w:ind w:left="-360"/>
        <w:rPr>
          <w:rFonts w:ascii="Times New Roman" w:hAnsi="Times New Roman" w:cs="Times New Roman"/>
          <w:bCs/>
          <w:iCs/>
          <w:sz w:val="24"/>
          <w:szCs w:val="24"/>
        </w:rPr>
      </w:pPr>
      <w:r>
        <w:rPr>
          <w:rFonts w:ascii="Times New Roman" w:hAnsi="Times New Roman" w:cs="Times New Roman"/>
          <w:b/>
          <w:bCs/>
          <w:iCs/>
          <w:sz w:val="24"/>
          <w:szCs w:val="24"/>
        </w:rPr>
        <w:t>Monthly Revisions</w:t>
      </w:r>
      <w:r w:rsidRPr="001172C9">
        <w:rPr>
          <w:rFonts w:ascii="Times New Roman" w:hAnsi="Times New Roman" w:cs="Times New Roman"/>
          <w:bCs/>
          <w:iCs/>
          <w:sz w:val="24"/>
          <w:szCs w:val="24"/>
        </w:rPr>
        <w:t>:</w:t>
      </w:r>
      <w:r>
        <w:rPr>
          <w:rFonts w:ascii="Times New Roman" w:hAnsi="Times New Roman" w:cs="Times New Roman"/>
          <w:b/>
          <w:bCs/>
          <w:iCs/>
          <w:sz w:val="24"/>
          <w:szCs w:val="24"/>
        </w:rPr>
        <w:t xml:space="preserve"> </w:t>
      </w:r>
      <w:r w:rsidRPr="00C17602">
        <w:rPr>
          <w:rFonts w:ascii="Times New Roman" w:hAnsi="Times New Roman" w:cs="Times New Roman"/>
          <w:bCs/>
          <w:iCs/>
          <w:sz w:val="24"/>
          <w:szCs w:val="24"/>
        </w:rPr>
        <w:t>Monthly data include actual month's transactions as well as a small number of transactions for previous months. Each month, the U.S. Census Bureau revises the aggregate seasonally adjusted (current and real chained-dollar) and unadjusted export, import, and trade balance figures, as well as the end-use totals for the prior month. Country detail data and commodity detail data, based on the Standard International Trade Classification (SITC) Revision 4 and the North American Industry Classification System (NAICS), are not revised monthly. The timing adjustment shown in Exhibit 14 is the difference between monthly data as originally reported and as recompiled.</w:t>
      </w:r>
    </w:p>
    <w:p w14:paraId="5A66A68B" w14:textId="77777777" w:rsidR="007F29AC" w:rsidRPr="007F29AC" w:rsidRDefault="007F29AC" w:rsidP="007F29AC">
      <w:pPr>
        <w:spacing w:after="120"/>
        <w:ind w:left="-360"/>
        <w:rPr>
          <w:rFonts w:ascii="Times New Roman" w:hAnsi="Times New Roman" w:cs="Times New Roman"/>
          <w:sz w:val="24"/>
          <w:szCs w:val="24"/>
        </w:rPr>
      </w:pPr>
      <w:r w:rsidRPr="007F29AC">
        <w:rPr>
          <w:rFonts w:ascii="Times New Roman" w:hAnsi="Times New Roman" w:cs="Times New Roman"/>
          <w:sz w:val="24"/>
          <w:szCs w:val="24"/>
        </w:rPr>
        <w:t>For January, unadjusted exports of goods were revised down $0.1 billion and unadjusted imports of goods were revised up $0.1 billion. Goods carry-over in February was $0.1 billion (0.1 percent) for exports and $0.6 billion (0.3 percent) for imports. For January, revised export carry-over was $0.4 billion (0.3 percent) and revised import carry-over was $0.1 billion (less than 0.1 percent).</w:t>
      </w:r>
    </w:p>
    <w:p w14:paraId="74FDFD06" w14:textId="77777777" w:rsidR="007F29AC" w:rsidRDefault="007F29AC" w:rsidP="001705DB">
      <w:pPr>
        <w:spacing w:after="120"/>
        <w:ind w:left="-360"/>
        <w:rPr>
          <w:rFonts w:ascii="Times New Roman" w:hAnsi="Times New Roman" w:cs="Times New Roman"/>
          <w:b/>
          <w:sz w:val="24"/>
          <w:szCs w:val="24"/>
        </w:rPr>
      </w:pPr>
    </w:p>
    <w:p w14:paraId="54EF5511" w14:textId="65331D75" w:rsidR="001705DB" w:rsidRPr="00403748" w:rsidRDefault="001705DB" w:rsidP="001705DB">
      <w:pPr>
        <w:spacing w:after="120"/>
        <w:ind w:left="-360"/>
        <w:rPr>
          <w:rFonts w:ascii="Times New Roman" w:hAnsi="Times New Roman" w:cs="Times New Roman"/>
          <w:b/>
          <w:sz w:val="24"/>
          <w:szCs w:val="24"/>
        </w:rPr>
      </w:pPr>
      <w:r w:rsidRPr="00C17602">
        <w:rPr>
          <w:rFonts w:ascii="Times New Roman" w:hAnsi="Times New Roman" w:cs="Times New Roman"/>
          <w:b/>
          <w:sz w:val="24"/>
          <w:szCs w:val="24"/>
        </w:rPr>
        <w:lastRenderedPageBreak/>
        <w:t>Quarterly Revisions to Chain-Weighted Dollar Series</w:t>
      </w:r>
      <w:r w:rsidRPr="001172C9">
        <w:rPr>
          <w:rFonts w:ascii="Times New Roman" w:hAnsi="Times New Roman" w:cs="Times New Roman"/>
          <w:sz w:val="24"/>
          <w:szCs w:val="24"/>
        </w:rPr>
        <w:t>:</w:t>
      </w:r>
      <w:r>
        <w:rPr>
          <w:rFonts w:ascii="Times New Roman" w:hAnsi="Times New Roman" w:cs="Times New Roman"/>
          <w:b/>
          <w:sz w:val="24"/>
          <w:szCs w:val="24"/>
        </w:rPr>
        <w:t xml:space="preserve"> </w:t>
      </w:r>
      <w:r w:rsidRPr="00C17602">
        <w:rPr>
          <w:rFonts w:ascii="Times New Roman" w:hAnsi="Times New Roman" w:cs="Times New Roman"/>
          <w:sz w:val="24"/>
          <w:szCs w:val="24"/>
        </w:rPr>
        <w:t xml:space="preserve">For March, June, September, and December statistical month releases, revisions are made to the real chained-dollar series presented in Exhibits 10 and 11: the previous five months are revised to incorporate the </w:t>
      </w:r>
      <w:r>
        <w:rPr>
          <w:rFonts w:ascii="Times New Roman" w:hAnsi="Times New Roman" w:cs="Times New Roman"/>
          <w:sz w:val="24"/>
          <w:szCs w:val="24"/>
        </w:rPr>
        <w:t xml:space="preserve">U.S. </w:t>
      </w:r>
      <w:r w:rsidRPr="00C17602">
        <w:rPr>
          <w:rFonts w:ascii="Times New Roman" w:hAnsi="Times New Roman" w:cs="Times New Roman"/>
          <w:sz w:val="24"/>
          <w:szCs w:val="24"/>
        </w:rPr>
        <w:t xml:space="preserve">Bureau of Labor Statistics’ </w:t>
      </w:r>
      <w:r>
        <w:rPr>
          <w:rFonts w:ascii="Times New Roman" w:hAnsi="Times New Roman" w:cs="Times New Roman"/>
          <w:sz w:val="24"/>
          <w:szCs w:val="24"/>
        </w:rPr>
        <w:t xml:space="preserve">(BLS) </w:t>
      </w:r>
      <w:r w:rsidRPr="00C17602">
        <w:rPr>
          <w:rFonts w:ascii="Times New Roman" w:hAnsi="Times New Roman" w:cs="Times New Roman"/>
          <w:sz w:val="24"/>
          <w:szCs w:val="24"/>
        </w:rPr>
        <w:t xml:space="preserve">revisions to price indexes, which are used to produce the real chained-dollar series and to align Census data with data published by the U.S. Bureau of Economic Analysis (BEA) in the </w:t>
      </w:r>
      <w:r>
        <w:rPr>
          <w:rFonts w:ascii="Times New Roman" w:hAnsi="Times New Roman" w:cs="Times New Roman"/>
          <w:sz w:val="24"/>
          <w:szCs w:val="24"/>
        </w:rPr>
        <w:t>n</w:t>
      </w:r>
      <w:r w:rsidRPr="00C17602">
        <w:rPr>
          <w:rFonts w:ascii="Times New Roman" w:hAnsi="Times New Roman" w:cs="Times New Roman"/>
          <w:sz w:val="24"/>
          <w:szCs w:val="24"/>
        </w:rPr>
        <w:t xml:space="preserve">ational </w:t>
      </w:r>
      <w:r>
        <w:rPr>
          <w:rFonts w:ascii="Times New Roman" w:hAnsi="Times New Roman" w:cs="Times New Roman"/>
          <w:sz w:val="24"/>
          <w:szCs w:val="24"/>
        </w:rPr>
        <w:t>i</w:t>
      </w:r>
      <w:r w:rsidRPr="00C17602">
        <w:rPr>
          <w:rFonts w:ascii="Times New Roman" w:hAnsi="Times New Roman" w:cs="Times New Roman"/>
          <w:sz w:val="24"/>
          <w:szCs w:val="24"/>
        </w:rPr>
        <w:t xml:space="preserve">ncome and </w:t>
      </w:r>
      <w:r>
        <w:rPr>
          <w:rFonts w:ascii="Times New Roman" w:hAnsi="Times New Roman" w:cs="Times New Roman"/>
          <w:sz w:val="24"/>
          <w:szCs w:val="24"/>
        </w:rPr>
        <w:t>p</w:t>
      </w:r>
      <w:r w:rsidRPr="00C17602">
        <w:rPr>
          <w:rFonts w:ascii="Times New Roman" w:hAnsi="Times New Roman" w:cs="Times New Roman"/>
          <w:sz w:val="24"/>
          <w:szCs w:val="24"/>
        </w:rPr>
        <w:t xml:space="preserve">roduct </w:t>
      </w:r>
      <w:r>
        <w:rPr>
          <w:rFonts w:ascii="Times New Roman" w:hAnsi="Times New Roman" w:cs="Times New Roman"/>
          <w:sz w:val="24"/>
          <w:szCs w:val="24"/>
        </w:rPr>
        <w:t>a</w:t>
      </w:r>
      <w:r w:rsidRPr="00C17602">
        <w:rPr>
          <w:rFonts w:ascii="Times New Roman" w:hAnsi="Times New Roman" w:cs="Times New Roman"/>
          <w:sz w:val="24"/>
          <w:szCs w:val="24"/>
        </w:rPr>
        <w:t>ccounts (NIPAs).</w:t>
      </w:r>
    </w:p>
    <w:p w14:paraId="7C9F4EF4"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sz w:val="24"/>
          <w:szCs w:val="24"/>
        </w:rPr>
        <w:t>Annual Revisions</w:t>
      </w:r>
      <w:r>
        <w:rPr>
          <w:rFonts w:ascii="Times New Roman" w:hAnsi="Times New Roman" w:cs="Times New Roman"/>
          <w:sz w:val="24"/>
          <w:szCs w:val="24"/>
        </w:rPr>
        <w:t xml:space="preserve">: </w:t>
      </w:r>
      <w:r w:rsidRPr="00C17602">
        <w:rPr>
          <w:rFonts w:ascii="Times New Roman" w:hAnsi="Times New Roman" w:cs="Times New Roman"/>
          <w:sz w:val="24"/>
          <w:szCs w:val="24"/>
        </w:rPr>
        <w:t>Each June, not seasonally adjusted goods data are revised to redistribute monthly data that arrived too late for inclusion in the month of transaction. In addition, revisions are made to reflect corrections received subsequent to the monthly revisions. Seasonally adjusted data are also revised to reflect recalculated seasonal and trading-day adjustments. These revisions are reflected in totals, end-use, commodity, and country summary data.</w:t>
      </w:r>
    </w:p>
    <w:p w14:paraId="06A4E86C" w14:textId="77777777" w:rsidR="001705DB" w:rsidRPr="00403748" w:rsidRDefault="001705DB" w:rsidP="001705DB">
      <w:pPr>
        <w:spacing w:after="120"/>
        <w:ind w:left="-360"/>
        <w:rPr>
          <w:rFonts w:ascii="Times New Roman" w:hAnsi="Times New Roman" w:cs="Times New Roman"/>
          <w:i/>
          <w:sz w:val="24"/>
          <w:szCs w:val="24"/>
        </w:rPr>
      </w:pPr>
      <w:r w:rsidRPr="00C17602">
        <w:rPr>
          <w:rFonts w:ascii="Times New Roman" w:hAnsi="Times New Roman" w:cs="Times New Roman"/>
          <w:b/>
          <w:sz w:val="24"/>
          <w:szCs w:val="24"/>
        </w:rPr>
        <w:t>Other Revisions</w:t>
      </w:r>
      <w:r w:rsidRPr="001172C9">
        <w:rPr>
          <w:rFonts w:ascii="Times New Roman" w:hAnsi="Times New Roman" w:cs="Times New Roman"/>
          <w:sz w:val="24"/>
          <w:szCs w:val="24"/>
        </w:rPr>
        <w:t>:</w:t>
      </w:r>
      <w:r w:rsidRPr="00C17602">
        <w:rPr>
          <w:rFonts w:ascii="Times New Roman" w:hAnsi="Times New Roman" w:cs="Times New Roman"/>
          <w:i/>
          <w:sz w:val="24"/>
          <w:szCs w:val="24"/>
        </w:rPr>
        <w:t xml:space="preserve"> </w:t>
      </w:r>
      <w:r w:rsidRPr="00C17602">
        <w:rPr>
          <w:rFonts w:ascii="Times New Roman" w:hAnsi="Times New Roman" w:cs="Times New Roman"/>
          <w:sz w:val="24"/>
          <w:szCs w:val="24"/>
        </w:rPr>
        <w:t>For December and January statistical month releases, each prior month of the most recent full year is revised so that the totals of the seasonally adjusted months equal the annual totals.</w:t>
      </w:r>
    </w:p>
    <w:p w14:paraId="7F751B6C" w14:textId="77777777" w:rsidR="001705DB" w:rsidRPr="008F1C33" w:rsidRDefault="001705DB" w:rsidP="001705DB">
      <w:pPr>
        <w:spacing w:after="0"/>
        <w:ind w:left="-360"/>
        <w:rPr>
          <w:rFonts w:ascii="Arial" w:hAnsi="Arial" w:cs="Arial"/>
          <w:b/>
          <w:i/>
          <w:sz w:val="24"/>
          <w:szCs w:val="24"/>
        </w:rPr>
      </w:pPr>
      <w:r w:rsidRPr="008F1C33">
        <w:rPr>
          <w:rFonts w:ascii="Arial" w:hAnsi="Arial" w:cs="Arial"/>
          <w:b/>
          <w:i/>
          <w:sz w:val="24"/>
          <w:szCs w:val="24"/>
        </w:rPr>
        <w:t>U.S./Canada Data Exchange and Substitution</w:t>
      </w:r>
    </w:p>
    <w:p w14:paraId="4AA9F42C"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Data for U.S. exports to Canada are derived from import data compiled by Canada. The use of Canada's import data to produce U.S. export data requires several alignments in order to compare the two series.</w:t>
      </w:r>
    </w:p>
    <w:p w14:paraId="75091239" w14:textId="065ABF71" w:rsidR="001705DB" w:rsidRPr="00136B04" w:rsidRDefault="001705DB" w:rsidP="00136B04">
      <w:pPr>
        <w:numPr>
          <w:ilvl w:val="0"/>
          <w:numId w:val="14"/>
        </w:numPr>
        <w:spacing w:after="120"/>
        <w:rPr>
          <w:rFonts w:ascii="Times New Roman" w:hAnsi="Times New Roman" w:cs="Times New Roman"/>
          <w:sz w:val="24"/>
          <w:szCs w:val="24"/>
        </w:rPr>
      </w:pPr>
      <w:r w:rsidRPr="00C17602">
        <w:rPr>
          <w:rFonts w:ascii="Times New Roman" w:hAnsi="Times New Roman" w:cs="Times New Roman"/>
          <w:i/>
          <w:iCs/>
          <w:sz w:val="24"/>
          <w:szCs w:val="24"/>
        </w:rPr>
        <w:t>Coverage</w:t>
      </w:r>
      <w:r w:rsidRPr="00C17602">
        <w:rPr>
          <w:rFonts w:ascii="Times New Roman" w:hAnsi="Times New Roman" w:cs="Times New Roman"/>
          <w:sz w:val="24"/>
          <w:szCs w:val="24"/>
        </w:rPr>
        <w:t xml:space="preserve"> - Canadian imports are based on country of origin. U.S. goods shipped from a third country are included. U.S. exports exclude these foreign shipments. For </w:t>
      </w:r>
      <w:r w:rsidR="00136B04">
        <w:rPr>
          <w:rFonts w:ascii="Times New Roman" w:hAnsi="Times New Roman" w:cs="Times New Roman"/>
          <w:sz w:val="24"/>
          <w:szCs w:val="24"/>
        </w:rPr>
        <w:t>February</w:t>
      </w:r>
      <w:r w:rsidR="00EE1F45" w:rsidRPr="00136B04">
        <w:rPr>
          <w:rFonts w:ascii="Times New Roman" w:hAnsi="Times New Roman" w:cs="Times New Roman"/>
          <w:sz w:val="24"/>
          <w:szCs w:val="24"/>
        </w:rPr>
        <w:t xml:space="preserve"> 2018</w:t>
      </w:r>
      <w:r w:rsidRPr="00136B04">
        <w:rPr>
          <w:rFonts w:ascii="Times New Roman" w:hAnsi="Times New Roman" w:cs="Times New Roman"/>
          <w:sz w:val="24"/>
          <w:szCs w:val="24"/>
        </w:rPr>
        <w:t>, these shipments totaled $</w:t>
      </w:r>
      <w:r w:rsidR="00136B04">
        <w:rPr>
          <w:rFonts w:ascii="Times New Roman" w:hAnsi="Times New Roman" w:cs="Times New Roman"/>
          <w:sz w:val="24"/>
          <w:szCs w:val="24"/>
        </w:rPr>
        <w:t>268.3</w:t>
      </w:r>
      <w:r w:rsidRPr="00136B04">
        <w:rPr>
          <w:rFonts w:ascii="Times New Roman" w:hAnsi="Times New Roman" w:cs="Times New Roman"/>
          <w:sz w:val="24"/>
          <w:szCs w:val="24"/>
        </w:rPr>
        <w:t xml:space="preserve"> million. U.S. export coverage also excludes U.S. postal shipments to Canada. For </w:t>
      </w:r>
      <w:r w:rsidR="00136B04">
        <w:rPr>
          <w:rFonts w:ascii="Times New Roman" w:hAnsi="Times New Roman" w:cs="Times New Roman"/>
          <w:sz w:val="24"/>
          <w:szCs w:val="24"/>
        </w:rPr>
        <w:t>February</w:t>
      </w:r>
      <w:r w:rsidRPr="00136B04">
        <w:rPr>
          <w:rFonts w:ascii="Times New Roman" w:hAnsi="Times New Roman" w:cs="Times New Roman"/>
          <w:sz w:val="24"/>
          <w:szCs w:val="24"/>
        </w:rPr>
        <w:t xml:space="preserve"> 201</w:t>
      </w:r>
      <w:r w:rsidR="00A465EE" w:rsidRPr="00136B04">
        <w:rPr>
          <w:rFonts w:ascii="Times New Roman" w:hAnsi="Times New Roman" w:cs="Times New Roman"/>
          <w:sz w:val="24"/>
          <w:szCs w:val="24"/>
        </w:rPr>
        <w:t>8</w:t>
      </w:r>
      <w:r w:rsidRPr="00136B04">
        <w:rPr>
          <w:rFonts w:ascii="Times New Roman" w:hAnsi="Times New Roman" w:cs="Times New Roman"/>
          <w:sz w:val="24"/>
          <w:szCs w:val="24"/>
        </w:rPr>
        <w:t>, these shipments totaled $</w:t>
      </w:r>
      <w:r w:rsidR="00136B04">
        <w:rPr>
          <w:rFonts w:ascii="Times New Roman" w:hAnsi="Times New Roman" w:cs="Times New Roman"/>
          <w:sz w:val="24"/>
          <w:szCs w:val="24"/>
        </w:rPr>
        <w:t>24.4</w:t>
      </w:r>
      <w:r w:rsidRPr="00136B04">
        <w:rPr>
          <w:rFonts w:ascii="Times New Roman" w:hAnsi="Times New Roman" w:cs="Times New Roman"/>
          <w:sz w:val="24"/>
          <w:szCs w:val="24"/>
        </w:rPr>
        <w:t xml:space="preserve"> million.</w:t>
      </w:r>
    </w:p>
    <w:p w14:paraId="780D1787"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U.S. import coverage includes shipments of railcars and locomotives from Canada. Effective with January 2004 statistics, Canada excludes these shipments from its goods exports to the United States, therefore creating coverage differences between the two countries for these goods.</w:t>
      </w:r>
    </w:p>
    <w:p w14:paraId="294C9BF1" w14:textId="191E1245" w:rsidR="001705DB" w:rsidRPr="00C17602" w:rsidRDefault="001705DB" w:rsidP="001705DB">
      <w:pPr>
        <w:numPr>
          <w:ilvl w:val="0"/>
          <w:numId w:val="14"/>
        </w:numPr>
        <w:spacing w:after="120"/>
        <w:rPr>
          <w:rFonts w:ascii="Times New Roman" w:hAnsi="Times New Roman" w:cs="Times New Roman"/>
          <w:sz w:val="24"/>
          <w:szCs w:val="24"/>
        </w:rPr>
      </w:pPr>
      <w:r w:rsidRPr="00C17602">
        <w:rPr>
          <w:rFonts w:ascii="Times New Roman" w:hAnsi="Times New Roman" w:cs="Times New Roman"/>
          <w:i/>
          <w:iCs/>
          <w:sz w:val="24"/>
          <w:szCs w:val="24"/>
        </w:rPr>
        <w:t>Valuation</w:t>
      </w:r>
      <w:r w:rsidRPr="00C17602">
        <w:rPr>
          <w:rFonts w:ascii="Times New Roman" w:hAnsi="Times New Roman" w:cs="Times New Roman"/>
          <w:sz w:val="24"/>
          <w:szCs w:val="24"/>
        </w:rPr>
        <w:t xml:space="preserve"> - Canadian imports are valued at the point of origin in the United States. However, U.S. exports are valued at the port of exit in the United States and include inland freight charges, making the U.S. export value slightly larger than the Canadian import value. Canada requires inland freight to be reported separately from the value of the goods. Combining the inland freight and the Canadian reported import value provides a consistent valuation for all U.S. exports. Inland freight charges for </w:t>
      </w:r>
      <w:r w:rsidR="00136B04">
        <w:rPr>
          <w:rFonts w:ascii="Times New Roman" w:hAnsi="Times New Roman" w:cs="Times New Roman"/>
          <w:sz w:val="24"/>
          <w:szCs w:val="24"/>
        </w:rPr>
        <w:t>February</w:t>
      </w:r>
      <w:r w:rsidR="00A465EE">
        <w:rPr>
          <w:rFonts w:ascii="Times New Roman" w:hAnsi="Times New Roman" w:cs="Times New Roman"/>
          <w:sz w:val="24"/>
          <w:szCs w:val="24"/>
        </w:rPr>
        <w:t xml:space="preserve"> 2018</w:t>
      </w:r>
      <w:r>
        <w:rPr>
          <w:rFonts w:ascii="Times New Roman" w:hAnsi="Times New Roman" w:cs="Times New Roman"/>
          <w:sz w:val="24"/>
          <w:szCs w:val="24"/>
        </w:rPr>
        <w:t xml:space="preserve"> </w:t>
      </w:r>
      <w:r w:rsidRPr="00C17602">
        <w:rPr>
          <w:rFonts w:ascii="Times New Roman" w:hAnsi="Times New Roman" w:cs="Times New Roman"/>
          <w:sz w:val="24"/>
          <w:szCs w:val="24"/>
        </w:rPr>
        <w:t xml:space="preserve">accounted for </w:t>
      </w:r>
      <w:r w:rsidR="00136B04">
        <w:rPr>
          <w:rFonts w:ascii="Times New Roman" w:hAnsi="Times New Roman" w:cs="Times New Roman"/>
          <w:sz w:val="24"/>
          <w:szCs w:val="24"/>
        </w:rPr>
        <w:t>1.9</w:t>
      </w:r>
      <w:r w:rsidRPr="00C17602">
        <w:rPr>
          <w:rFonts w:ascii="Times New Roman" w:hAnsi="Times New Roman" w:cs="Times New Roman"/>
          <w:sz w:val="24"/>
          <w:szCs w:val="24"/>
        </w:rPr>
        <w:t xml:space="preserve"> percent of the value of U.S. exports to Canada.</w:t>
      </w:r>
    </w:p>
    <w:p w14:paraId="7B0736CD" w14:textId="16977A5D" w:rsidR="001705DB" w:rsidRPr="00136B04" w:rsidRDefault="001705DB" w:rsidP="00136B04">
      <w:pPr>
        <w:numPr>
          <w:ilvl w:val="0"/>
          <w:numId w:val="14"/>
        </w:numPr>
        <w:spacing w:after="120"/>
        <w:rPr>
          <w:rFonts w:ascii="Times New Roman" w:hAnsi="Times New Roman" w:cs="Times New Roman"/>
          <w:sz w:val="24"/>
          <w:szCs w:val="24"/>
        </w:rPr>
      </w:pPr>
      <w:r w:rsidRPr="00C17602">
        <w:rPr>
          <w:rFonts w:ascii="Times New Roman" w:hAnsi="Times New Roman" w:cs="Times New Roman"/>
          <w:i/>
          <w:iCs/>
          <w:sz w:val="24"/>
          <w:szCs w:val="24"/>
        </w:rPr>
        <w:t>Re-exports</w:t>
      </w:r>
      <w:r w:rsidRPr="00C17602">
        <w:rPr>
          <w:rFonts w:ascii="Times New Roman" w:hAnsi="Times New Roman" w:cs="Times New Roman"/>
          <w:iCs/>
          <w:sz w:val="24"/>
          <w:szCs w:val="24"/>
        </w:rPr>
        <w:t xml:space="preserve"> - Unlike Canadian imports, which are based on country of origin, </w:t>
      </w:r>
      <w:r w:rsidRPr="00C17602">
        <w:rPr>
          <w:rFonts w:ascii="Times New Roman" w:hAnsi="Times New Roman" w:cs="Times New Roman"/>
          <w:sz w:val="24"/>
          <w:szCs w:val="24"/>
        </w:rPr>
        <w:t xml:space="preserve">U.S. exports include re-exports of foreign goods. Therefore, the aggregate U.S. export figure is slightly larger than the Canadian import figure. For </w:t>
      </w:r>
      <w:r w:rsidR="00136B04">
        <w:rPr>
          <w:rFonts w:ascii="Times New Roman" w:hAnsi="Times New Roman" w:cs="Times New Roman"/>
          <w:sz w:val="24"/>
          <w:szCs w:val="24"/>
        </w:rPr>
        <w:t>February</w:t>
      </w:r>
      <w:r w:rsidR="00A465EE" w:rsidRPr="00136B04">
        <w:rPr>
          <w:rFonts w:ascii="Times New Roman" w:hAnsi="Times New Roman" w:cs="Times New Roman"/>
          <w:sz w:val="24"/>
          <w:szCs w:val="24"/>
        </w:rPr>
        <w:t xml:space="preserve"> 2018</w:t>
      </w:r>
      <w:r w:rsidRPr="00136B04">
        <w:rPr>
          <w:rFonts w:ascii="Times New Roman" w:hAnsi="Times New Roman" w:cs="Times New Roman"/>
          <w:sz w:val="24"/>
          <w:szCs w:val="24"/>
        </w:rPr>
        <w:t>, re-exports to Canada were $</w:t>
      </w:r>
      <w:r w:rsidR="00136B04">
        <w:rPr>
          <w:rFonts w:ascii="Times New Roman" w:hAnsi="Times New Roman" w:cs="Times New Roman"/>
          <w:sz w:val="24"/>
          <w:szCs w:val="24"/>
        </w:rPr>
        <w:t>3,848.5</w:t>
      </w:r>
      <w:r w:rsidRPr="00136B04">
        <w:rPr>
          <w:rFonts w:ascii="Times New Roman" w:hAnsi="Times New Roman" w:cs="Times New Roman"/>
          <w:sz w:val="24"/>
          <w:szCs w:val="24"/>
        </w:rPr>
        <w:t xml:space="preserve"> million.</w:t>
      </w:r>
    </w:p>
    <w:p w14:paraId="5ECE56E6" w14:textId="689057C1" w:rsidR="001705DB" w:rsidRPr="00C17602" w:rsidRDefault="001705DB" w:rsidP="001705DB">
      <w:pPr>
        <w:numPr>
          <w:ilvl w:val="0"/>
          <w:numId w:val="14"/>
        </w:numPr>
        <w:spacing w:after="120"/>
        <w:rPr>
          <w:rFonts w:ascii="Times New Roman" w:hAnsi="Times New Roman" w:cs="Times New Roman"/>
          <w:sz w:val="24"/>
          <w:szCs w:val="24"/>
        </w:rPr>
      </w:pPr>
      <w:r w:rsidRPr="00C17602">
        <w:rPr>
          <w:rFonts w:ascii="Times New Roman" w:hAnsi="Times New Roman" w:cs="Times New Roman"/>
          <w:i/>
          <w:iCs/>
          <w:sz w:val="24"/>
          <w:szCs w:val="24"/>
        </w:rPr>
        <w:lastRenderedPageBreak/>
        <w:t>Exchange Rate</w:t>
      </w:r>
      <w:r w:rsidRPr="00C17602">
        <w:rPr>
          <w:rFonts w:ascii="Times New Roman" w:hAnsi="Times New Roman" w:cs="Times New Roman"/>
          <w:iCs/>
          <w:sz w:val="24"/>
          <w:szCs w:val="24"/>
        </w:rPr>
        <w:t xml:space="preserve"> - </w:t>
      </w:r>
      <w:r w:rsidRPr="00C17602">
        <w:rPr>
          <w:rFonts w:ascii="Times New Roman" w:hAnsi="Times New Roman" w:cs="Times New Roman"/>
          <w:sz w:val="24"/>
          <w:szCs w:val="24"/>
        </w:rPr>
        <w:t xml:space="preserve">Average monthly exchange rates are applied to convert the published data to U.S. currency. For </w:t>
      </w:r>
      <w:r w:rsidR="00136B04">
        <w:rPr>
          <w:rFonts w:ascii="Times New Roman" w:hAnsi="Times New Roman" w:cs="Times New Roman"/>
          <w:sz w:val="24"/>
          <w:szCs w:val="24"/>
        </w:rPr>
        <w:t>February</w:t>
      </w:r>
      <w:r w:rsidR="00A465EE">
        <w:rPr>
          <w:rFonts w:ascii="Times New Roman" w:hAnsi="Times New Roman" w:cs="Times New Roman"/>
          <w:sz w:val="24"/>
          <w:szCs w:val="24"/>
        </w:rPr>
        <w:t xml:space="preserve"> 2018</w:t>
      </w:r>
      <w:r w:rsidRPr="00C17602">
        <w:rPr>
          <w:rFonts w:ascii="Times New Roman" w:hAnsi="Times New Roman" w:cs="Times New Roman"/>
          <w:sz w:val="24"/>
          <w:szCs w:val="24"/>
        </w:rPr>
        <w:t>, the average exchange rate was 1.</w:t>
      </w:r>
      <w:r>
        <w:rPr>
          <w:rFonts w:ascii="Times New Roman" w:hAnsi="Times New Roman" w:cs="Times New Roman"/>
          <w:sz w:val="24"/>
          <w:szCs w:val="24"/>
        </w:rPr>
        <w:t>2</w:t>
      </w:r>
      <w:r w:rsidR="00136B04">
        <w:rPr>
          <w:rFonts w:ascii="Times New Roman" w:hAnsi="Times New Roman" w:cs="Times New Roman"/>
          <w:sz w:val="24"/>
          <w:szCs w:val="24"/>
        </w:rPr>
        <w:t>588</w:t>
      </w:r>
      <w:r w:rsidR="00A465EE">
        <w:rPr>
          <w:rFonts w:ascii="Times New Roman" w:hAnsi="Times New Roman" w:cs="Times New Roman"/>
          <w:sz w:val="24"/>
          <w:szCs w:val="24"/>
        </w:rPr>
        <w:t xml:space="preserve"> </w:t>
      </w:r>
      <w:r w:rsidRPr="00C17602">
        <w:rPr>
          <w:rFonts w:ascii="Times New Roman" w:hAnsi="Times New Roman" w:cs="Times New Roman"/>
          <w:sz w:val="24"/>
          <w:szCs w:val="24"/>
        </w:rPr>
        <w:t>Canadian dollars per U.S. dollar.</w:t>
      </w:r>
    </w:p>
    <w:p w14:paraId="2CE89C48" w14:textId="77777777" w:rsidR="001705DB" w:rsidRPr="00C17602" w:rsidRDefault="001705DB" w:rsidP="001705DB">
      <w:pPr>
        <w:numPr>
          <w:ilvl w:val="0"/>
          <w:numId w:val="14"/>
        </w:numPr>
        <w:spacing w:after="120"/>
        <w:rPr>
          <w:rFonts w:ascii="Times New Roman" w:hAnsi="Times New Roman" w:cs="Times New Roman"/>
          <w:sz w:val="24"/>
          <w:szCs w:val="24"/>
        </w:rPr>
      </w:pPr>
      <w:r w:rsidRPr="00C17602">
        <w:rPr>
          <w:rFonts w:ascii="Times New Roman" w:hAnsi="Times New Roman" w:cs="Times New Roman"/>
          <w:i/>
          <w:iCs/>
          <w:sz w:val="24"/>
          <w:szCs w:val="24"/>
        </w:rPr>
        <w:t>Other</w:t>
      </w:r>
      <w:r w:rsidRPr="00C17602">
        <w:rPr>
          <w:rFonts w:ascii="Times New Roman" w:hAnsi="Times New Roman" w:cs="Times New Roman"/>
          <w:sz w:val="24"/>
          <w:szCs w:val="24"/>
        </w:rPr>
        <w:t xml:space="preserve"> - There are other minor differences, such as rounding error, that are statistically insignificant.</w:t>
      </w:r>
    </w:p>
    <w:p w14:paraId="72C0511E" w14:textId="77777777" w:rsidR="001705DB" w:rsidRPr="00C17602" w:rsidRDefault="001705DB" w:rsidP="001705DB">
      <w:pPr>
        <w:spacing w:after="120"/>
        <w:ind w:left="-360"/>
        <w:rPr>
          <w:rFonts w:ascii="Times New Roman" w:hAnsi="Times New Roman" w:cs="Times New Roman"/>
          <w:sz w:val="24"/>
          <w:szCs w:val="24"/>
        </w:rPr>
      </w:pPr>
      <w:r>
        <w:rPr>
          <w:rFonts w:ascii="Times New Roman" w:hAnsi="Times New Roman" w:cs="Times New Roman"/>
          <w:b/>
          <w:sz w:val="24"/>
          <w:szCs w:val="24"/>
        </w:rPr>
        <w:t>Canadian Estimates</w:t>
      </w:r>
      <w:r>
        <w:rPr>
          <w:rFonts w:ascii="Times New Roman" w:hAnsi="Times New Roman" w:cs="Times New Roman"/>
          <w:sz w:val="24"/>
          <w:szCs w:val="24"/>
        </w:rPr>
        <w:t xml:space="preserve">: </w:t>
      </w:r>
      <w:r w:rsidRPr="00C17602">
        <w:rPr>
          <w:rFonts w:ascii="Times New Roman" w:hAnsi="Times New Roman" w:cs="Times New Roman"/>
          <w:sz w:val="24"/>
          <w:szCs w:val="24"/>
        </w:rPr>
        <w:t>Effective with January 2001 statistics, the current month data for exports to Canada contain an estimate for late arrivals and corrections. In the following month, this estimate is replaced, in the news release exhibits only, with the actual value of late receipts and corrections. This estimate improves the current month data for exports to Canada and treats late receipts for exports to Canada in a manner that is more consistent with the treatment of late receipts for exports to other countries.</w:t>
      </w:r>
    </w:p>
    <w:p w14:paraId="56F4D95E" w14:textId="77777777" w:rsidR="001705DB" w:rsidRPr="00127F09" w:rsidRDefault="001705DB" w:rsidP="001705DB">
      <w:pPr>
        <w:spacing w:after="0"/>
        <w:ind w:left="-360"/>
        <w:rPr>
          <w:rFonts w:ascii="Arial" w:hAnsi="Arial" w:cs="Arial"/>
          <w:b/>
          <w:bCs/>
          <w:i/>
          <w:sz w:val="24"/>
          <w:szCs w:val="24"/>
        </w:rPr>
      </w:pPr>
      <w:proofErr w:type="spellStart"/>
      <w:r w:rsidRPr="00127F09">
        <w:rPr>
          <w:rFonts w:ascii="Arial" w:hAnsi="Arial" w:cs="Arial"/>
          <w:b/>
          <w:bCs/>
          <w:i/>
          <w:sz w:val="24"/>
          <w:szCs w:val="24"/>
        </w:rPr>
        <w:t>Nonsampling</w:t>
      </w:r>
      <w:proofErr w:type="spellEnd"/>
      <w:r w:rsidRPr="00127F09">
        <w:rPr>
          <w:rFonts w:ascii="Arial" w:hAnsi="Arial" w:cs="Arial"/>
          <w:b/>
          <w:bCs/>
          <w:i/>
          <w:sz w:val="24"/>
          <w:szCs w:val="24"/>
        </w:rPr>
        <w:t xml:space="preserve"> Errors</w:t>
      </w:r>
    </w:p>
    <w:p w14:paraId="0A43D387"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 xml:space="preserve">The goods data are a complete enumeration of documents collected by </w:t>
      </w:r>
      <w:r>
        <w:rPr>
          <w:rFonts w:ascii="Times New Roman" w:hAnsi="Times New Roman" w:cs="Times New Roman"/>
          <w:sz w:val="24"/>
          <w:szCs w:val="24"/>
        </w:rPr>
        <w:t>CBP</w:t>
      </w:r>
      <w:r w:rsidRPr="00C17602">
        <w:rPr>
          <w:rFonts w:ascii="Times New Roman" w:hAnsi="Times New Roman" w:cs="Times New Roman"/>
          <w:sz w:val="24"/>
          <w:szCs w:val="24"/>
        </w:rPr>
        <w:t xml:space="preserve"> and are not subject to sampling errors. Quality assurance procedures are performed at every stage of collection, processing, and tabulation. However, the data are still subject to several types of </w:t>
      </w:r>
      <w:proofErr w:type="spellStart"/>
      <w:r w:rsidRPr="00C17602">
        <w:rPr>
          <w:rFonts w:ascii="Times New Roman" w:hAnsi="Times New Roman" w:cs="Times New Roman"/>
          <w:sz w:val="24"/>
          <w:szCs w:val="24"/>
        </w:rPr>
        <w:t>nonsampling</w:t>
      </w:r>
      <w:proofErr w:type="spellEnd"/>
      <w:r w:rsidRPr="00C17602">
        <w:rPr>
          <w:rFonts w:ascii="Times New Roman" w:hAnsi="Times New Roman" w:cs="Times New Roman"/>
          <w:sz w:val="24"/>
          <w:szCs w:val="24"/>
        </w:rPr>
        <w:t xml:space="preserve"> errors. The most significant of these include reporting errors, undocumented shipments, timeliness, data capture errors, and errors in the estimation of low-valued transactions.</w:t>
      </w:r>
    </w:p>
    <w:p w14:paraId="6716967E" w14:textId="77777777" w:rsidR="001705DB"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bCs/>
          <w:sz w:val="24"/>
          <w:szCs w:val="24"/>
        </w:rPr>
        <w:t>Reporting Errors</w:t>
      </w:r>
      <w:r w:rsidRPr="001172C9">
        <w:rPr>
          <w:rFonts w:ascii="Times New Roman" w:hAnsi="Times New Roman" w:cs="Times New Roman"/>
          <w:bCs/>
          <w:sz w:val="24"/>
          <w:szCs w:val="24"/>
        </w:rPr>
        <w:t>:</w:t>
      </w:r>
      <w:r w:rsidRPr="00C17602">
        <w:rPr>
          <w:rFonts w:ascii="Times New Roman" w:hAnsi="Times New Roman" w:cs="Times New Roman"/>
          <w:sz w:val="24"/>
          <w:szCs w:val="24"/>
        </w:rPr>
        <w:t xml:space="preserve"> Reporting errors are mistakes or omissions made by importers, exporters, or their agents in their import or export declarations. Most errors involve missing or invalid commodity classification codes and missing or incorrect quantities or shipping weights. They have a negligible effect on aggregate import, export, and balance of trade statistics. However, they can affect the detailed commodity statistics.</w:t>
      </w:r>
    </w:p>
    <w:p w14:paraId="68983F4E"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bCs/>
          <w:sz w:val="24"/>
          <w:szCs w:val="24"/>
        </w:rPr>
        <w:t>Undocumented Shipments</w:t>
      </w:r>
      <w:r w:rsidRPr="001172C9">
        <w:rPr>
          <w:rFonts w:ascii="Times New Roman" w:hAnsi="Times New Roman" w:cs="Times New Roman"/>
          <w:bCs/>
          <w:sz w:val="24"/>
          <w:szCs w:val="24"/>
        </w:rPr>
        <w:t>:</w:t>
      </w:r>
      <w:r>
        <w:rPr>
          <w:rFonts w:ascii="Times New Roman" w:hAnsi="Times New Roman" w:cs="Times New Roman"/>
          <w:b/>
          <w:bCs/>
          <w:sz w:val="24"/>
          <w:szCs w:val="24"/>
        </w:rPr>
        <w:t xml:space="preserve"> </w:t>
      </w:r>
      <w:r w:rsidRPr="00C17602">
        <w:rPr>
          <w:rFonts w:ascii="Times New Roman" w:hAnsi="Times New Roman" w:cs="Times New Roman"/>
          <w:sz w:val="24"/>
          <w:szCs w:val="24"/>
        </w:rPr>
        <w:t>Federal regulations require importers, exporters, or their agents to report all merchandise shipments above established exemption levels. The Census Bureau has determined that not all required documents are filed, particularly for exports.</w:t>
      </w:r>
    </w:p>
    <w:p w14:paraId="33C183E1"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bCs/>
          <w:sz w:val="24"/>
          <w:szCs w:val="24"/>
        </w:rPr>
        <w:t>Timeliness and Data Capture Errors</w:t>
      </w:r>
      <w:r>
        <w:rPr>
          <w:rFonts w:ascii="Times New Roman" w:hAnsi="Times New Roman" w:cs="Times New Roman"/>
          <w:sz w:val="24"/>
          <w:szCs w:val="24"/>
        </w:rPr>
        <w:t xml:space="preserve">: </w:t>
      </w:r>
      <w:r w:rsidRPr="00C17602">
        <w:rPr>
          <w:rFonts w:ascii="Times New Roman" w:hAnsi="Times New Roman" w:cs="Times New Roman"/>
          <w:sz w:val="24"/>
          <w:szCs w:val="24"/>
        </w:rPr>
        <w:t>The Census Bureau captures import and export information from administrative documents and through various automated collection programs. Documents may be lost, and data may be incorrectly keyed, coded, or recorded. Transactions may be included in a subsequent month’s statistics if received late.</w:t>
      </w:r>
    </w:p>
    <w:p w14:paraId="21ED21D6"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bCs/>
          <w:sz w:val="24"/>
          <w:szCs w:val="24"/>
        </w:rPr>
        <w:t>Low-</w:t>
      </w:r>
      <w:r>
        <w:rPr>
          <w:rFonts w:ascii="Times New Roman" w:hAnsi="Times New Roman" w:cs="Times New Roman"/>
          <w:b/>
          <w:bCs/>
          <w:sz w:val="24"/>
          <w:szCs w:val="24"/>
        </w:rPr>
        <w:t>V</w:t>
      </w:r>
      <w:r w:rsidRPr="00C17602">
        <w:rPr>
          <w:rFonts w:ascii="Times New Roman" w:hAnsi="Times New Roman" w:cs="Times New Roman"/>
          <w:b/>
          <w:bCs/>
          <w:sz w:val="24"/>
          <w:szCs w:val="24"/>
        </w:rPr>
        <w:t>alued Transactions</w:t>
      </w:r>
      <w:r w:rsidRPr="00C17602">
        <w:rPr>
          <w:rFonts w:ascii="Times New Roman" w:hAnsi="Times New Roman" w:cs="Times New Roman"/>
          <w:sz w:val="24"/>
          <w:szCs w:val="24"/>
        </w:rPr>
        <w:t>: The total values of transactions valued as much as or below $2,500 for exports and $2,000 ($250 for certain quota items) for imports are estimated for each country, using factors based on the ratios of low-valued shipments to individual country totals for past periods.</w:t>
      </w:r>
    </w:p>
    <w:p w14:paraId="2137D314" w14:textId="2CAC87F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 xml:space="preserve">The Census Bureau recommends that data users incorporate this information into their analyses, as </w:t>
      </w:r>
      <w:proofErr w:type="spellStart"/>
      <w:r w:rsidRPr="00C17602">
        <w:rPr>
          <w:rFonts w:ascii="Times New Roman" w:hAnsi="Times New Roman" w:cs="Times New Roman"/>
          <w:sz w:val="24"/>
          <w:szCs w:val="24"/>
        </w:rPr>
        <w:t>nonsampling</w:t>
      </w:r>
      <w:proofErr w:type="spellEnd"/>
      <w:r w:rsidRPr="00C17602">
        <w:rPr>
          <w:rFonts w:ascii="Times New Roman" w:hAnsi="Times New Roman" w:cs="Times New Roman"/>
          <w:sz w:val="24"/>
          <w:szCs w:val="24"/>
        </w:rPr>
        <w:t xml:space="preserve"> errors could impact the conclusion drawn from the results. See </w:t>
      </w:r>
      <w:r>
        <w:rPr>
          <w:rFonts w:ascii="Times New Roman" w:hAnsi="Times New Roman" w:cs="Times New Roman"/>
          <w:sz w:val="24"/>
          <w:szCs w:val="24"/>
        </w:rPr>
        <w:t>“</w:t>
      </w:r>
      <w:hyperlink r:id="rId28" w:history="1">
        <w:r w:rsidRPr="00B70DD6">
          <w:rPr>
            <w:rStyle w:val="Hyperlink"/>
            <w:rFonts w:ascii="Times New Roman" w:hAnsi="Times New Roman" w:cs="Times New Roman"/>
            <w:sz w:val="24"/>
            <w:szCs w:val="24"/>
          </w:rPr>
          <w:t>U.S. Merchandise Trade Statistics: A Quality Profile</w:t>
        </w:r>
      </w:hyperlink>
      <w:r w:rsidRPr="00B70DD6">
        <w:rPr>
          <w:rStyle w:val="Hyperlink"/>
          <w:rFonts w:ascii="Times New Roman" w:hAnsi="Times New Roman" w:cs="Times New Roman"/>
          <w:sz w:val="24"/>
          <w:szCs w:val="24"/>
          <w:u w:val="none"/>
        </w:rPr>
        <w:t>”</w:t>
      </w:r>
      <w:r>
        <w:rPr>
          <w:rFonts w:ascii="Times New Roman" w:hAnsi="Times New Roman" w:cs="Times New Roman"/>
          <w:sz w:val="24"/>
          <w:szCs w:val="24"/>
        </w:rPr>
        <w:t xml:space="preserve"> (October 2014) </w:t>
      </w:r>
      <w:r w:rsidRPr="00C17602">
        <w:rPr>
          <w:rFonts w:ascii="Times New Roman" w:hAnsi="Times New Roman" w:cs="Times New Roman"/>
          <w:sz w:val="24"/>
          <w:szCs w:val="24"/>
        </w:rPr>
        <w:t>for a detailed discussion of errors affecting the goods data.</w:t>
      </w:r>
    </w:p>
    <w:p w14:paraId="75A972EA" w14:textId="77777777" w:rsidR="001705DB" w:rsidRPr="008F1C33" w:rsidRDefault="001705DB" w:rsidP="001705DB">
      <w:pPr>
        <w:spacing w:after="0"/>
        <w:ind w:left="-360"/>
        <w:rPr>
          <w:rFonts w:ascii="Arial" w:hAnsi="Arial" w:cs="Arial"/>
          <w:b/>
          <w:bCs/>
          <w:i/>
          <w:iCs/>
          <w:sz w:val="24"/>
          <w:szCs w:val="24"/>
        </w:rPr>
      </w:pPr>
      <w:r w:rsidRPr="008F1C33">
        <w:rPr>
          <w:rFonts w:ascii="Arial" w:hAnsi="Arial" w:cs="Arial"/>
          <w:b/>
          <w:bCs/>
          <w:i/>
          <w:iCs/>
          <w:sz w:val="24"/>
          <w:szCs w:val="24"/>
        </w:rPr>
        <w:lastRenderedPageBreak/>
        <w:t>Area Groupings</w:t>
      </w:r>
    </w:p>
    <w:p w14:paraId="00AA743F"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bCs/>
          <w:sz w:val="24"/>
          <w:szCs w:val="24"/>
        </w:rPr>
        <w:t>North America</w:t>
      </w:r>
      <w:r w:rsidRPr="00C17602">
        <w:rPr>
          <w:rFonts w:ascii="Times New Roman" w:hAnsi="Times New Roman" w:cs="Times New Roman"/>
          <w:sz w:val="24"/>
          <w:szCs w:val="24"/>
        </w:rPr>
        <w:t>: Canada, Mexico.</w:t>
      </w:r>
    </w:p>
    <w:p w14:paraId="263A4478"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sz w:val="24"/>
          <w:szCs w:val="24"/>
        </w:rPr>
        <w:t>Dominican Republic-Central America-United States Free Trade Agreement (</w:t>
      </w:r>
      <w:r w:rsidRPr="00C17602">
        <w:rPr>
          <w:rFonts w:ascii="Times New Roman" w:hAnsi="Times New Roman" w:cs="Times New Roman"/>
          <w:b/>
          <w:bCs/>
          <w:sz w:val="24"/>
          <w:szCs w:val="24"/>
        </w:rPr>
        <w:t>CAFTA-DR)</w:t>
      </w:r>
      <w:r w:rsidRPr="002F628E">
        <w:rPr>
          <w:rFonts w:ascii="Times New Roman" w:hAnsi="Times New Roman" w:cs="Times New Roman"/>
          <w:sz w:val="24"/>
          <w:szCs w:val="24"/>
        </w:rPr>
        <w:t>:</w:t>
      </w:r>
      <w:r w:rsidRPr="00C17602">
        <w:rPr>
          <w:rFonts w:ascii="Times New Roman" w:hAnsi="Times New Roman" w:cs="Times New Roman"/>
          <w:b/>
          <w:sz w:val="24"/>
          <w:szCs w:val="24"/>
        </w:rPr>
        <w:t xml:space="preserve"> </w:t>
      </w:r>
      <w:r w:rsidRPr="00C17602">
        <w:rPr>
          <w:rFonts w:ascii="Times New Roman" w:hAnsi="Times New Roman" w:cs="Times New Roman"/>
          <w:sz w:val="24"/>
          <w:szCs w:val="24"/>
        </w:rPr>
        <w:t>Costa Rica, Dominican Republic, El Salvador, Guatemala, Honduras, Nicaragua.</w:t>
      </w:r>
    </w:p>
    <w:p w14:paraId="2461702F"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bCs/>
          <w:sz w:val="24"/>
          <w:szCs w:val="24"/>
        </w:rPr>
        <w:t>Europe</w:t>
      </w:r>
      <w:r w:rsidRPr="00C17602">
        <w:rPr>
          <w:rFonts w:ascii="Times New Roman" w:hAnsi="Times New Roman" w:cs="Times New Roman"/>
          <w:sz w:val="24"/>
          <w:szCs w:val="24"/>
        </w:rPr>
        <w:t>: Albania, Andorra, Armenia, Austria, Azerbaijan, Belarus, Belgium, Bosnia and Herzegovina, Bulgaria, Croatia, Cyprus, Czech Republic, Denmark, Estonia, Faroe Islands, Finland, France, Georgia, Germany, Gibraltar, Greece, Hungary, Iceland, Ireland, Italy, Kazakhstan, Kosovo, Kyrgyzstan, Latvia, Liechtenstein, Lithuania, Luxembourg, Macedonia, Malta, Moldova, Monaco, Montenegro, Netherlands, Norway, Poland, Portugal, Romania, Russia, San Marino, Serbia, Slovakia, Slovenia, Spain, Svalbard-Jan Mayen Island, Sweden, Switzerland, Tajikistan, Turkey, Turkmenistan, Ukraine, United Kingdom, Uzbekistan, Vatican City.</w:t>
      </w:r>
    </w:p>
    <w:p w14:paraId="49199015"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bCs/>
          <w:sz w:val="24"/>
          <w:szCs w:val="24"/>
        </w:rPr>
        <w:t>European Union</w:t>
      </w:r>
      <w:r w:rsidRPr="00C17602">
        <w:rPr>
          <w:rFonts w:ascii="Times New Roman" w:hAnsi="Times New Roman" w:cs="Times New Roman"/>
          <w:sz w:val="24"/>
          <w:szCs w:val="24"/>
        </w:rPr>
        <w:t>: Austria, Belgium, Bulgaria, Croatia, Cyprus, Czech Republic, Denmark, Estonia, Finland, France, Germany, Greece, Hungary, Ireland, Italy, Latvia, Lithuania, Luxembourg, Malta, Netherlands, Poland, Portugal, Romania, Slovakia, Slovenia, Spain, Sweden, United Kingdom.</w:t>
      </w:r>
    </w:p>
    <w:p w14:paraId="74B93F05" w14:textId="77777777" w:rsidR="001705DB" w:rsidRPr="00C17602" w:rsidRDefault="001705DB" w:rsidP="001705DB">
      <w:pPr>
        <w:spacing w:after="120"/>
        <w:ind w:left="-360"/>
        <w:rPr>
          <w:rFonts w:ascii="Times New Roman" w:hAnsi="Times New Roman" w:cs="Times New Roman"/>
          <w:b/>
          <w:bCs/>
          <w:sz w:val="24"/>
          <w:szCs w:val="24"/>
        </w:rPr>
      </w:pPr>
      <w:r w:rsidRPr="00C17602">
        <w:rPr>
          <w:rFonts w:ascii="Times New Roman" w:hAnsi="Times New Roman" w:cs="Times New Roman"/>
          <w:b/>
          <w:bCs/>
          <w:sz w:val="24"/>
          <w:szCs w:val="24"/>
        </w:rPr>
        <w:t>Euro Area</w:t>
      </w:r>
      <w:r w:rsidRPr="00C17602">
        <w:rPr>
          <w:rFonts w:ascii="Times New Roman" w:hAnsi="Times New Roman" w:cs="Times New Roman"/>
          <w:sz w:val="24"/>
          <w:szCs w:val="24"/>
        </w:rPr>
        <w:t>: Austria, Belgium, Cyprus, Estonia, Finland, France, Germany, Greece, Ireland, Italy, Latvia, Lithuania, Luxembourg, Malta, Netherlands, Portugal, Slovakia, Slovenia, Spain.</w:t>
      </w:r>
    </w:p>
    <w:p w14:paraId="01B38C9F"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bCs/>
          <w:sz w:val="24"/>
          <w:szCs w:val="24"/>
        </w:rPr>
        <w:t>Pacific Rim</w:t>
      </w:r>
      <w:r w:rsidRPr="00C17602">
        <w:rPr>
          <w:rFonts w:ascii="Times New Roman" w:hAnsi="Times New Roman" w:cs="Times New Roman"/>
          <w:sz w:val="24"/>
          <w:szCs w:val="24"/>
        </w:rPr>
        <w:t>: Australia, Brunei, China, Hong Kong, Indonesia, Japan, Korea (South), Macau, Malaysia, New Zealand, Papua New Guinea, Philippines, Singapore, Taiwan.</w:t>
      </w:r>
    </w:p>
    <w:p w14:paraId="60264F28" w14:textId="77777777" w:rsidR="001705DB" w:rsidRPr="00015C89"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bCs/>
          <w:sz w:val="24"/>
          <w:szCs w:val="24"/>
        </w:rPr>
        <w:t>South/Central America</w:t>
      </w:r>
      <w:r w:rsidRPr="00C17602">
        <w:rPr>
          <w:rFonts w:ascii="Times New Roman" w:hAnsi="Times New Roman" w:cs="Times New Roman"/>
          <w:sz w:val="24"/>
          <w:szCs w:val="24"/>
        </w:rPr>
        <w:t xml:space="preserve">: Anguilla, Antigua and Barbuda, Argentina, Aruba, Bahamas, Barbados, Belize, Bermuda, Bolivia, Brazil, British Virgin Islands, Cayman Islands, Chile, Colombia, Costa Rica, Cuba, Curacao, Dominica, Dominican Republic, Ecuador, El Salvador, Falkland Islands (Islas Malvinas), French Guiana, Grenada, Guadeloupe, Guatemala, Guyana, Haiti, Honduras, Jamaica, Martinique, Montserrat, Netherlands Antilles, Nicaragua, Panama, Paraguay, Peru, </w:t>
      </w:r>
      <w:proofErr w:type="spellStart"/>
      <w:r w:rsidRPr="00C17602">
        <w:rPr>
          <w:rFonts w:ascii="Times New Roman" w:hAnsi="Times New Roman" w:cs="Times New Roman"/>
          <w:sz w:val="24"/>
          <w:szCs w:val="24"/>
        </w:rPr>
        <w:t>Sint</w:t>
      </w:r>
      <w:proofErr w:type="spellEnd"/>
      <w:r w:rsidRPr="00C17602">
        <w:rPr>
          <w:rFonts w:ascii="Times New Roman" w:hAnsi="Times New Roman" w:cs="Times New Roman"/>
          <w:sz w:val="24"/>
          <w:szCs w:val="24"/>
        </w:rPr>
        <w:t xml:space="preserve"> Maarten, St. Kitts and Nevis, St. Lucia, St. Vincent and the Grenadines, Suriname, Trinidad and Tobago, Turks and Caicos Islands, Uruguay, Venezuela.</w:t>
      </w:r>
    </w:p>
    <w:p w14:paraId="38B78F7F" w14:textId="77777777" w:rsidR="001705DB" w:rsidRPr="00015C89" w:rsidRDefault="001705DB" w:rsidP="001705DB">
      <w:pPr>
        <w:spacing w:after="120"/>
        <w:ind w:left="-360"/>
        <w:rPr>
          <w:rFonts w:ascii="Times New Roman" w:hAnsi="Times New Roman" w:cs="Times New Roman"/>
          <w:sz w:val="24"/>
          <w:szCs w:val="24"/>
        </w:rPr>
      </w:pPr>
      <w:r w:rsidRPr="00015C89">
        <w:rPr>
          <w:rFonts w:ascii="Times New Roman" w:hAnsi="Times New Roman" w:cs="Times New Roman"/>
          <w:b/>
          <w:bCs/>
          <w:sz w:val="24"/>
          <w:szCs w:val="24"/>
        </w:rPr>
        <w:t>Organization</w:t>
      </w:r>
      <w:r w:rsidRPr="00C17602">
        <w:rPr>
          <w:rFonts w:ascii="Times New Roman" w:hAnsi="Times New Roman" w:cs="Times New Roman"/>
          <w:b/>
          <w:bCs/>
          <w:sz w:val="24"/>
          <w:szCs w:val="24"/>
          <w:lang w:val="es-MX"/>
        </w:rPr>
        <w:t xml:space="preserve"> of</w:t>
      </w:r>
      <w:r w:rsidRPr="00015C89">
        <w:rPr>
          <w:rFonts w:ascii="Times New Roman" w:hAnsi="Times New Roman" w:cs="Times New Roman"/>
          <w:b/>
          <w:bCs/>
          <w:sz w:val="24"/>
          <w:szCs w:val="24"/>
        </w:rPr>
        <w:t xml:space="preserve"> Petroleum Exporting Countries</w:t>
      </w:r>
      <w:r w:rsidRPr="00C17602">
        <w:rPr>
          <w:rFonts w:ascii="Times New Roman" w:hAnsi="Times New Roman" w:cs="Times New Roman"/>
          <w:b/>
          <w:bCs/>
          <w:sz w:val="24"/>
          <w:szCs w:val="24"/>
          <w:lang w:val="es-MX"/>
        </w:rPr>
        <w:t xml:space="preserve"> (OPEC)</w:t>
      </w:r>
      <w:r w:rsidRPr="00C17602">
        <w:rPr>
          <w:rFonts w:ascii="Times New Roman" w:hAnsi="Times New Roman" w:cs="Times New Roman"/>
          <w:sz w:val="24"/>
          <w:szCs w:val="24"/>
          <w:lang w:val="es-MX"/>
        </w:rPr>
        <w:t>:</w:t>
      </w:r>
      <w:r w:rsidRPr="00015C89">
        <w:rPr>
          <w:rFonts w:ascii="Times New Roman" w:hAnsi="Times New Roman" w:cs="Times New Roman"/>
          <w:sz w:val="24"/>
          <w:szCs w:val="24"/>
        </w:rPr>
        <w:t xml:space="preserve"> Algeria</w:t>
      </w:r>
      <w:r w:rsidRPr="00C17602">
        <w:rPr>
          <w:rFonts w:ascii="Times New Roman" w:hAnsi="Times New Roman" w:cs="Times New Roman"/>
          <w:sz w:val="24"/>
          <w:szCs w:val="24"/>
          <w:lang w:val="es-MX"/>
        </w:rPr>
        <w:t>, Angola, Ecuador,</w:t>
      </w:r>
      <w:r w:rsidRPr="00015C89">
        <w:rPr>
          <w:rFonts w:ascii="Times New Roman" w:hAnsi="Times New Roman" w:cs="Times New Roman"/>
          <w:sz w:val="24"/>
          <w:szCs w:val="24"/>
        </w:rPr>
        <w:t xml:space="preserve"> </w:t>
      </w:r>
      <w:r>
        <w:rPr>
          <w:rFonts w:ascii="Times New Roman" w:hAnsi="Times New Roman" w:cs="Times New Roman"/>
          <w:sz w:val="24"/>
          <w:szCs w:val="24"/>
        </w:rPr>
        <w:t xml:space="preserve">Equatorial Guinea, </w:t>
      </w:r>
      <w:r w:rsidRPr="00015C89">
        <w:rPr>
          <w:rFonts w:ascii="Times New Roman" w:hAnsi="Times New Roman" w:cs="Times New Roman"/>
          <w:sz w:val="24"/>
          <w:szCs w:val="24"/>
        </w:rPr>
        <w:t>Gabon</w:t>
      </w:r>
      <w:r w:rsidRPr="00C17602">
        <w:rPr>
          <w:rFonts w:ascii="Times New Roman" w:hAnsi="Times New Roman" w:cs="Times New Roman"/>
          <w:sz w:val="24"/>
          <w:szCs w:val="24"/>
          <w:lang w:val="es-MX"/>
        </w:rPr>
        <w:t xml:space="preserve">, </w:t>
      </w:r>
      <w:r w:rsidRPr="00015C89">
        <w:rPr>
          <w:rFonts w:ascii="Times New Roman" w:hAnsi="Times New Roman" w:cs="Times New Roman"/>
          <w:sz w:val="24"/>
          <w:szCs w:val="24"/>
        </w:rPr>
        <w:t>Iran</w:t>
      </w:r>
      <w:r w:rsidRPr="00C17602">
        <w:rPr>
          <w:rFonts w:ascii="Times New Roman" w:hAnsi="Times New Roman" w:cs="Times New Roman"/>
          <w:sz w:val="24"/>
          <w:szCs w:val="24"/>
          <w:lang w:val="es-MX"/>
        </w:rPr>
        <w:t>, Iraq, Kuwait,</w:t>
      </w:r>
      <w:r w:rsidRPr="00015C89">
        <w:rPr>
          <w:rFonts w:ascii="Times New Roman" w:hAnsi="Times New Roman" w:cs="Times New Roman"/>
          <w:sz w:val="24"/>
          <w:szCs w:val="24"/>
          <w:lang w:val="smj-NO"/>
        </w:rPr>
        <w:t xml:space="preserve"> Libya</w:t>
      </w:r>
      <w:r w:rsidRPr="00C17602">
        <w:rPr>
          <w:rFonts w:ascii="Times New Roman" w:hAnsi="Times New Roman" w:cs="Times New Roman"/>
          <w:sz w:val="24"/>
          <w:szCs w:val="24"/>
          <w:lang w:val="es-MX"/>
        </w:rPr>
        <w:t>, Nigeria, Qatar,</w:t>
      </w:r>
      <w:r w:rsidRPr="00015C89">
        <w:rPr>
          <w:rFonts w:ascii="Times New Roman" w:hAnsi="Times New Roman" w:cs="Times New Roman"/>
          <w:sz w:val="24"/>
          <w:szCs w:val="24"/>
        </w:rPr>
        <w:t xml:space="preserve"> Saudi</w:t>
      </w:r>
      <w:r w:rsidRPr="00C17602">
        <w:rPr>
          <w:rFonts w:ascii="Times New Roman" w:hAnsi="Times New Roman" w:cs="Times New Roman"/>
          <w:sz w:val="24"/>
          <w:szCs w:val="24"/>
          <w:lang w:val="es-MX"/>
        </w:rPr>
        <w:t xml:space="preserve"> Arabia,</w:t>
      </w:r>
      <w:r w:rsidRPr="00015C89">
        <w:rPr>
          <w:rFonts w:ascii="Times New Roman" w:hAnsi="Times New Roman" w:cs="Times New Roman"/>
          <w:sz w:val="24"/>
          <w:szCs w:val="24"/>
        </w:rPr>
        <w:t xml:space="preserve"> United Arab Emirates</w:t>
      </w:r>
      <w:r w:rsidRPr="00C17602">
        <w:rPr>
          <w:rFonts w:ascii="Times New Roman" w:hAnsi="Times New Roman" w:cs="Times New Roman"/>
          <w:sz w:val="24"/>
          <w:szCs w:val="24"/>
          <w:lang w:val="es-MX"/>
        </w:rPr>
        <w:t>, Venezuela.</w:t>
      </w:r>
    </w:p>
    <w:p w14:paraId="7508BD12" w14:textId="77777777" w:rsidR="001705DB" w:rsidRPr="00C17602" w:rsidRDefault="001705DB" w:rsidP="001705DB">
      <w:pPr>
        <w:spacing w:after="120"/>
        <w:ind w:left="-360"/>
        <w:rPr>
          <w:rFonts w:ascii="Times New Roman" w:hAnsi="Times New Roman" w:cs="Times New Roman"/>
          <w:sz w:val="24"/>
          <w:szCs w:val="24"/>
          <w:lang w:val="es-MX"/>
        </w:rPr>
      </w:pPr>
      <w:r w:rsidRPr="00015C89">
        <w:rPr>
          <w:rFonts w:ascii="Times New Roman" w:hAnsi="Times New Roman" w:cs="Times New Roman"/>
          <w:b/>
          <w:bCs/>
          <w:sz w:val="24"/>
          <w:szCs w:val="24"/>
        </w:rPr>
        <w:t>Africa</w:t>
      </w:r>
      <w:r w:rsidRPr="00C17602">
        <w:rPr>
          <w:rFonts w:ascii="Times New Roman" w:hAnsi="Times New Roman" w:cs="Times New Roman"/>
          <w:sz w:val="24"/>
          <w:szCs w:val="24"/>
          <w:lang w:val="es-MX"/>
        </w:rPr>
        <w:t>:</w:t>
      </w:r>
      <w:r w:rsidRPr="00015C89">
        <w:rPr>
          <w:rFonts w:ascii="Times New Roman" w:hAnsi="Times New Roman" w:cs="Times New Roman"/>
          <w:sz w:val="24"/>
          <w:szCs w:val="24"/>
        </w:rPr>
        <w:t xml:space="preserve"> Algeria</w:t>
      </w:r>
      <w:r w:rsidRPr="00C17602">
        <w:rPr>
          <w:rFonts w:ascii="Times New Roman" w:hAnsi="Times New Roman" w:cs="Times New Roman"/>
          <w:sz w:val="24"/>
          <w:szCs w:val="24"/>
          <w:lang w:val="es-MX"/>
        </w:rPr>
        <w:t xml:space="preserve">, Angola, </w:t>
      </w:r>
      <w:r w:rsidRPr="00BA3B55">
        <w:rPr>
          <w:rFonts w:ascii="Times New Roman" w:hAnsi="Times New Roman" w:cs="Times New Roman"/>
          <w:sz w:val="24"/>
          <w:szCs w:val="24"/>
        </w:rPr>
        <w:t xml:space="preserve">Benin, Botswana, British Indian Ocean Territories, Burkina Faso, Burundi, Cabo Verde, Cameroon, Central African Republic, Chad, Comoros, Congo (Brazzaville), Congo (Kinshasa), Djibouti, Egypt, Equatorial Guinea, Eritrea, Ethiopia, French Southern and Antarctic Lands, Gabon, Gambia, Ghana, Guinea, Guinea-Bissau, Ivory Coast, Kenya, Lesotho, Liberia, Libya, Madagascar, Malawi, Mali, Mauritania, Mauritius, Mayotte, Morocco, Mozambique, Namibia, Niger, Nigeria, Reunion, Rwanda, </w:t>
      </w:r>
      <w:r w:rsidRPr="00BA3B55">
        <w:rPr>
          <w:rFonts w:ascii="Times New Roman" w:hAnsi="Times New Roman" w:cs="Times New Roman"/>
          <w:sz w:val="24"/>
          <w:szCs w:val="24"/>
        </w:rPr>
        <w:lastRenderedPageBreak/>
        <w:t>St. Helena, Sao Tome and Principe, Senegal, Seychelles, Sierra Leone, Somalia, South Africa, South Sudan, Sudan, Swaziland, Tanzania, Togo, Tunisia, Uganda, Western Sahara, Zambia, Zimbabwe.</w:t>
      </w:r>
    </w:p>
    <w:p w14:paraId="6B4A55BF" w14:textId="77777777" w:rsidR="001705DB" w:rsidRPr="008F1C33" w:rsidRDefault="001705DB" w:rsidP="001705DB">
      <w:pPr>
        <w:spacing w:after="0"/>
        <w:ind w:left="-360"/>
        <w:rPr>
          <w:rFonts w:ascii="Arial" w:hAnsi="Arial" w:cs="Arial"/>
          <w:b/>
          <w:bCs/>
          <w:i/>
          <w:sz w:val="24"/>
          <w:szCs w:val="24"/>
        </w:rPr>
      </w:pPr>
      <w:r w:rsidRPr="008F1C33">
        <w:rPr>
          <w:rFonts w:ascii="Arial" w:hAnsi="Arial" w:cs="Arial"/>
          <w:b/>
          <w:bCs/>
          <w:i/>
          <w:sz w:val="24"/>
          <w:szCs w:val="24"/>
        </w:rPr>
        <w:t>Adjustments for Seasonal and Trading-Day Variations</w:t>
      </w:r>
    </w:p>
    <w:p w14:paraId="1DC8641E"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 xml:space="preserve">Goods are initially classified under the Harmonized Commodity Description and Coding System (Harmonized System), which is an internationally accepted standard for the commodity classification of traded goods. The Harmonized System describes and measures the characteristics of the goods and is the basis for the systems used in the United States: Schedule B for exports and Harmonized Tariff Schedule for imports. Combining trade into approximately 140 export and 140 import end-use categories makes it possible to examine goods according to their principal uses (see Exhibits 7 and 8). These categories are used as the basis for computing the seasonal and trading-day adjusted data. These adjusted data are then summed to the six end-use aggregates for publication (see Exhibit 6). These data are provided to BEA, from the Census Bureau, for use in the NIPAs and in the U.S </w:t>
      </w:r>
      <w:r>
        <w:rPr>
          <w:rFonts w:ascii="Times New Roman" w:hAnsi="Times New Roman" w:cs="Times New Roman"/>
          <w:sz w:val="24"/>
          <w:szCs w:val="24"/>
        </w:rPr>
        <w:t>i</w:t>
      </w:r>
      <w:r w:rsidRPr="00C17602">
        <w:rPr>
          <w:rFonts w:ascii="Times New Roman" w:hAnsi="Times New Roman" w:cs="Times New Roman"/>
          <w:sz w:val="24"/>
          <w:szCs w:val="24"/>
        </w:rPr>
        <w:t xml:space="preserve">nternational </w:t>
      </w:r>
      <w:r>
        <w:rPr>
          <w:rFonts w:ascii="Times New Roman" w:hAnsi="Times New Roman" w:cs="Times New Roman"/>
          <w:sz w:val="24"/>
          <w:szCs w:val="24"/>
        </w:rPr>
        <w:t>t</w:t>
      </w:r>
      <w:r w:rsidRPr="00C17602">
        <w:rPr>
          <w:rFonts w:ascii="Times New Roman" w:hAnsi="Times New Roman" w:cs="Times New Roman"/>
          <w:sz w:val="24"/>
          <w:szCs w:val="24"/>
        </w:rPr>
        <w:t xml:space="preserve">ransactions </w:t>
      </w:r>
      <w:r>
        <w:rPr>
          <w:rFonts w:ascii="Times New Roman" w:hAnsi="Times New Roman" w:cs="Times New Roman"/>
          <w:sz w:val="24"/>
          <w:szCs w:val="24"/>
        </w:rPr>
        <w:t>a</w:t>
      </w:r>
      <w:r w:rsidRPr="00C17602">
        <w:rPr>
          <w:rFonts w:ascii="Times New Roman" w:hAnsi="Times New Roman" w:cs="Times New Roman"/>
          <w:sz w:val="24"/>
          <w:szCs w:val="24"/>
        </w:rPr>
        <w:t>ccounts (balance of payments accounts).</w:t>
      </w:r>
    </w:p>
    <w:p w14:paraId="2BB5A3BF"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 xml:space="preserve">Exhibit 19 shows goods (Census </w:t>
      </w:r>
      <w:r>
        <w:rPr>
          <w:rFonts w:ascii="Times New Roman" w:hAnsi="Times New Roman" w:cs="Times New Roman"/>
          <w:sz w:val="24"/>
          <w:szCs w:val="24"/>
        </w:rPr>
        <w:t>b</w:t>
      </w:r>
      <w:r w:rsidRPr="00C17602">
        <w:rPr>
          <w:rFonts w:ascii="Times New Roman" w:hAnsi="Times New Roman" w:cs="Times New Roman"/>
          <w:sz w:val="24"/>
          <w:szCs w:val="24"/>
        </w:rPr>
        <w:t>asis) that are seasonally adjusted for selected countries and world areas. Unlike the commodity-based adjustments discussed above, these adjustments are developed and applied directly at the country and world area levels. For total exports and imports, data users should refer to the commodity-based totals shown in the other exhibits. The seasonally adjusted country and world area data will not sum to the seasonally adjusted commodity-based totals because the seasonally adjusted country and world area data and the commodity-based totals are derived from different aggregations of the export and import data and from different seasonal adjustment models. Data users should use caution drawing comparisons between the two sets of seasonally adjusted series.</w:t>
      </w:r>
    </w:p>
    <w:p w14:paraId="7257AFD9"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The seasonal adjustment procedure (X13-ARIMA-SEATS) is based on a model that estimates the monthly movements as percentages above or below the general level of series (unlike other methods that redistribute the actual series values over the calendar year). Because the data series for aircraft is highly variable, users studying data trends may wish to analyze trade in aircraft separately from other trade.</w:t>
      </w:r>
    </w:p>
    <w:p w14:paraId="29021364" w14:textId="77777777" w:rsidR="001705DB" w:rsidRPr="00F1113D" w:rsidRDefault="001705DB" w:rsidP="001705DB">
      <w:pPr>
        <w:spacing w:after="0"/>
        <w:ind w:left="-360"/>
        <w:rPr>
          <w:rFonts w:ascii="Arial" w:hAnsi="Arial" w:cs="Arial"/>
          <w:b/>
          <w:i/>
          <w:iCs/>
          <w:sz w:val="24"/>
          <w:szCs w:val="24"/>
        </w:rPr>
      </w:pPr>
      <w:r w:rsidRPr="00F1113D">
        <w:rPr>
          <w:rFonts w:ascii="Arial" w:hAnsi="Arial" w:cs="Arial"/>
          <w:b/>
          <w:i/>
          <w:iCs/>
          <w:sz w:val="24"/>
          <w:szCs w:val="24"/>
        </w:rPr>
        <w:t>A</w:t>
      </w:r>
      <w:r>
        <w:rPr>
          <w:rFonts w:ascii="Arial" w:hAnsi="Arial" w:cs="Arial"/>
          <w:b/>
          <w:i/>
          <w:iCs/>
          <w:sz w:val="24"/>
          <w:szCs w:val="24"/>
        </w:rPr>
        <w:t>djustments for</w:t>
      </w:r>
      <w:r w:rsidRPr="00F1113D">
        <w:rPr>
          <w:rFonts w:ascii="Arial" w:hAnsi="Arial" w:cs="Arial"/>
          <w:b/>
          <w:i/>
          <w:iCs/>
          <w:sz w:val="24"/>
          <w:szCs w:val="24"/>
        </w:rPr>
        <w:t xml:space="preserve"> P</w:t>
      </w:r>
      <w:r>
        <w:rPr>
          <w:rFonts w:ascii="Arial" w:hAnsi="Arial" w:cs="Arial"/>
          <w:b/>
          <w:i/>
          <w:iCs/>
          <w:sz w:val="24"/>
          <w:szCs w:val="24"/>
        </w:rPr>
        <w:t>rice</w:t>
      </w:r>
      <w:r w:rsidRPr="00F1113D">
        <w:rPr>
          <w:rFonts w:ascii="Arial" w:hAnsi="Arial" w:cs="Arial"/>
          <w:b/>
          <w:i/>
          <w:iCs/>
          <w:sz w:val="24"/>
          <w:szCs w:val="24"/>
        </w:rPr>
        <w:t xml:space="preserve"> C</w:t>
      </w:r>
      <w:r>
        <w:rPr>
          <w:rFonts w:ascii="Arial" w:hAnsi="Arial" w:cs="Arial"/>
          <w:b/>
          <w:i/>
          <w:iCs/>
          <w:sz w:val="24"/>
          <w:szCs w:val="24"/>
        </w:rPr>
        <w:t>hange</w:t>
      </w:r>
    </w:p>
    <w:p w14:paraId="4FAEAB09" w14:textId="558D6CFB"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 xml:space="preserve">Data adjusted for seasonal variation on a real chained-dollar basis (2009 </w:t>
      </w:r>
      <w:r w:rsidR="00465679">
        <w:rPr>
          <w:rFonts w:ascii="Times New Roman" w:hAnsi="Times New Roman" w:cs="Times New Roman"/>
          <w:sz w:val="24"/>
          <w:szCs w:val="24"/>
        </w:rPr>
        <w:t>reference</w:t>
      </w:r>
      <w:r w:rsidRPr="00C17602">
        <w:rPr>
          <w:rFonts w:ascii="Times New Roman" w:hAnsi="Times New Roman" w:cs="Times New Roman"/>
          <w:sz w:val="24"/>
          <w:szCs w:val="24"/>
        </w:rPr>
        <w:t xml:space="preserve"> year) are presented in Exhibits 10 and 11. This adjustment for price change is done using the Fisher chain-weighted methodology. The deflators are primarily based on the monthly price indexes published by the </w:t>
      </w:r>
      <w:r>
        <w:rPr>
          <w:rFonts w:ascii="Times New Roman" w:hAnsi="Times New Roman" w:cs="Times New Roman"/>
          <w:sz w:val="24"/>
          <w:szCs w:val="24"/>
        </w:rPr>
        <w:t>BLS</w:t>
      </w:r>
      <w:r w:rsidRPr="00C17602">
        <w:rPr>
          <w:rFonts w:ascii="Times New Roman" w:hAnsi="Times New Roman" w:cs="Times New Roman"/>
          <w:sz w:val="24"/>
          <w:szCs w:val="24"/>
        </w:rPr>
        <w:t xml:space="preserve"> using techniques developed for the NIPAs by BEA.</w:t>
      </w:r>
    </w:p>
    <w:p w14:paraId="7AE44B96" w14:textId="77777777" w:rsidR="001705DB" w:rsidRPr="00F1113D" w:rsidRDefault="001705DB" w:rsidP="001705DB">
      <w:pPr>
        <w:spacing w:after="0"/>
        <w:ind w:left="-360"/>
        <w:rPr>
          <w:rFonts w:ascii="Arial" w:hAnsi="Arial" w:cs="Arial"/>
          <w:b/>
          <w:bCs/>
          <w:i/>
          <w:iCs/>
          <w:sz w:val="24"/>
          <w:szCs w:val="24"/>
        </w:rPr>
      </w:pPr>
      <w:r w:rsidRPr="00F1113D">
        <w:rPr>
          <w:rFonts w:ascii="Arial" w:hAnsi="Arial" w:cs="Arial"/>
          <w:b/>
          <w:bCs/>
          <w:i/>
          <w:iCs/>
          <w:sz w:val="24"/>
          <w:szCs w:val="24"/>
        </w:rPr>
        <w:t>P</w:t>
      </w:r>
      <w:r>
        <w:rPr>
          <w:rFonts w:ascii="Arial" w:hAnsi="Arial" w:cs="Arial"/>
          <w:b/>
          <w:bCs/>
          <w:i/>
          <w:iCs/>
          <w:sz w:val="24"/>
          <w:szCs w:val="24"/>
        </w:rPr>
        <w:t>rincipal Commodities</w:t>
      </w:r>
    </w:p>
    <w:p w14:paraId="2334B919"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 xml:space="preserve">Goods data appearing in Exhibit 15 are classified in terms of the SITC Revision 4, with the exception of agricultural and manufactured goods. Agricultural goods are defined by the U.S. Department of Agriculture </w:t>
      </w:r>
      <w:r w:rsidRPr="00C17602">
        <w:rPr>
          <w:rFonts w:ascii="Times New Roman" w:hAnsi="Times New Roman" w:cs="Times New Roman"/>
          <w:sz w:val="24"/>
          <w:szCs w:val="24"/>
        </w:rPr>
        <w:lastRenderedPageBreak/>
        <w:t>(USDA); they consist of non-marine food products and other products of agriculture that have not passed through complex processes of manufacture. Manufactured goods conform to the NAICS; they consist of goods that have been mechanically, physically, or chemically transformed. USDA agricultural goods and NAICS manufactured goods are not mutually exclusive categories.</w:t>
      </w:r>
    </w:p>
    <w:p w14:paraId="38ADB472"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Re-exports are foreign merchandise entering the country as imports and then exported in substantially the same condition as when imported. Re-exports, included in overall export totals, appear as separate line items in Exhibit 15.</w:t>
      </w:r>
    </w:p>
    <w:p w14:paraId="7AF05460" w14:textId="77777777" w:rsidR="001705DB" w:rsidRPr="00F1113D" w:rsidRDefault="001705DB" w:rsidP="001705DB">
      <w:pPr>
        <w:spacing w:after="0"/>
        <w:ind w:left="-360"/>
        <w:rPr>
          <w:rFonts w:ascii="Arial" w:hAnsi="Arial" w:cs="Arial"/>
          <w:b/>
          <w:bCs/>
          <w:i/>
          <w:iCs/>
          <w:sz w:val="24"/>
          <w:szCs w:val="24"/>
        </w:rPr>
      </w:pPr>
      <w:r w:rsidRPr="00F1113D">
        <w:rPr>
          <w:rFonts w:ascii="Arial" w:hAnsi="Arial" w:cs="Arial"/>
          <w:b/>
          <w:bCs/>
          <w:i/>
          <w:iCs/>
          <w:sz w:val="24"/>
          <w:szCs w:val="24"/>
        </w:rPr>
        <w:t>A</w:t>
      </w:r>
      <w:r>
        <w:rPr>
          <w:rFonts w:ascii="Arial" w:hAnsi="Arial" w:cs="Arial"/>
          <w:b/>
          <w:bCs/>
          <w:i/>
          <w:iCs/>
          <w:sz w:val="24"/>
          <w:szCs w:val="24"/>
        </w:rPr>
        <w:t>dvanced Technology Products</w:t>
      </w:r>
    </w:p>
    <w:p w14:paraId="70E1D458"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About 500 of some 22,000 Schedule B and Harmonized Tariff Schedule classification codes used in reporting U.S. merchandise trade are identified as "advanced technology" codes, and they meet the following criteria:</w:t>
      </w:r>
    </w:p>
    <w:p w14:paraId="229C1C59" w14:textId="77777777" w:rsidR="001705DB" w:rsidRPr="00C17602" w:rsidRDefault="001705DB" w:rsidP="001705DB">
      <w:pPr>
        <w:numPr>
          <w:ilvl w:val="0"/>
          <w:numId w:val="15"/>
        </w:numPr>
        <w:spacing w:after="120"/>
        <w:rPr>
          <w:rFonts w:ascii="Times New Roman" w:hAnsi="Times New Roman" w:cs="Times New Roman"/>
          <w:sz w:val="24"/>
          <w:szCs w:val="24"/>
        </w:rPr>
      </w:pPr>
      <w:r w:rsidRPr="00C17602">
        <w:rPr>
          <w:rFonts w:ascii="Times New Roman" w:hAnsi="Times New Roman" w:cs="Times New Roman"/>
          <w:sz w:val="24"/>
          <w:szCs w:val="24"/>
        </w:rPr>
        <w:t>The code contains products whose technology is from a recognized high technology field (e.g., biotechnology).</w:t>
      </w:r>
    </w:p>
    <w:p w14:paraId="59F836DB" w14:textId="77777777" w:rsidR="001705DB" w:rsidRPr="00C17602" w:rsidRDefault="001705DB" w:rsidP="001705DB">
      <w:pPr>
        <w:numPr>
          <w:ilvl w:val="0"/>
          <w:numId w:val="15"/>
        </w:numPr>
        <w:spacing w:after="120"/>
        <w:rPr>
          <w:rFonts w:ascii="Times New Roman" w:hAnsi="Times New Roman" w:cs="Times New Roman"/>
          <w:sz w:val="24"/>
          <w:szCs w:val="24"/>
        </w:rPr>
      </w:pPr>
      <w:r w:rsidRPr="00C17602">
        <w:rPr>
          <w:rFonts w:ascii="Times New Roman" w:hAnsi="Times New Roman" w:cs="Times New Roman"/>
          <w:sz w:val="24"/>
          <w:szCs w:val="24"/>
        </w:rPr>
        <w:t>These products represent leading edge technology in that field.</w:t>
      </w:r>
    </w:p>
    <w:p w14:paraId="225D5610" w14:textId="77777777" w:rsidR="001705DB" w:rsidRPr="00C17602" w:rsidRDefault="001705DB" w:rsidP="001705DB">
      <w:pPr>
        <w:numPr>
          <w:ilvl w:val="0"/>
          <w:numId w:val="15"/>
        </w:numPr>
        <w:spacing w:after="120"/>
        <w:rPr>
          <w:rFonts w:ascii="Times New Roman" w:hAnsi="Times New Roman" w:cs="Times New Roman"/>
          <w:sz w:val="24"/>
          <w:szCs w:val="24"/>
        </w:rPr>
      </w:pPr>
      <w:r w:rsidRPr="00C17602">
        <w:rPr>
          <w:rFonts w:ascii="Times New Roman" w:hAnsi="Times New Roman" w:cs="Times New Roman"/>
          <w:sz w:val="24"/>
          <w:szCs w:val="24"/>
        </w:rPr>
        <w:t>Such products constitute a significant part of all items covered in the selected classification code.</w:t>
      </w:r>
    </w:p>
    <w:p w14:paraId="71BB69DE"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The aggregation of the goods results in a measure of advanced technology trade that appears in Exhibits 16 and 16a. This product- and commodity-based measure of advanced technology differs from broader NAICS-based measures, which include all goods produced by a particular industry group, regardless of the level of technology embodied in the goods.</w:t>
      </w:r>
    </w:p>
    <w:p w14:paraId="3DD9637B" w14:textId="77777777" w:rsidR="001705DB" w:rsidRPr="001C38C3" w:rsidRDefault="001705DB" w:rsidP="001705DB">
      <w:pPr>
        <w:spacing w:after="0"/>
        <w:ind w:left="-360"/>
        <w:rPr>
          <w:rFonts w:ascii="Arial" w:hAnsi="Arial" w:cs="Arial"/>
          <w:b/>
          <w:sz w:val="24"/>
          <w:szCs w:val="24"/>
        </w:rPr>
      </w:pPr>
      <w:r w:rsidRPr="001C38C3">
        <w:rPr>
          <w:rFonts w:ascii="Arial" w:hAnsi="Arial" w:cs="Arial"/>
          <w:b/>
          <w:sz w:val="24"/>
          <w:szCs w:val="24"/>
        </w:rPr>
        <w:t>G</w:t>
      </w:r>
      <w:r>
        <w:rPr>
          <w:rFonts w:ascii="Arial" w:hAnsi="Arial" w:cs="Arial"/>
          <w:b/>
          <w:sz w:val="24"/>
          <w:szCs w:val="24"/>
        </w:rPr>
        <w:t>oods</w:t>
      </w:r>
      <w:r w:rsidRPr="001C38C3">
        <w:rPr>
          <w:rFonts w:ascii="Arial" w:hAnsi="Arial" w:cs="Arial"/>
          <w:b/>
          <w:sz w:val="24"/>
          <w:szCs w:val="24"/>
        </w:rPr>
        <w:t xml:space="preserve"> (B</w:t>
      </w:r>
      <w:r>
        <w:rPr>
          <w:rFonts w:ascii="Arial" w:hAnsi="Arial" w:cs="Arial"/>
          <w:b/>
          <w:sz w:val="24"/>
          <w:szCs w:val="24"/>
        </w:rPr>
        <w:t>alance of Payments Basis</w:t>
      </w:r>
      <w:r w:rsidRPr="001C38C3">
        <w:rPr>
          <w:rFonts w:ascii="Arial" w:hAnsi="Arial" w:cs="Arial"/>
          <w:b/>
          <w:sz w:val="24"/>
          <w:szCs w:val="24"/>
        </w:rPr>
        <w:t xml:space="preserve">) </w:t>
      </w:r>
      <w:r>
        <w:rPr>
          <w:rFonts w:ascii="Arial" w:hAnsi="Arial" w:cs="Arial"/>
          <w:b/>
          <w:sz w:val="24"/>
          <w:szCs w:val="24"/>
        </w:rPr>
        <w:t>and Services</w:t>
      </w:r>
    </w:p>
    <w:p w14:paraId="57CA4D02" w14:textId="2E8855C1"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 xml:space="preserve">Quarterly and annual statistics for goods on a balance of payments (BOP) basis and for services are included in the U.S. </w:t>
      </w:r>
      <w:r>
        <w:rPr>
          <w:rFonts w:ascii="Times New Roman" w:hAnsi="Times New Roman" w:cs="Times New Roman"/>
          <w:sz w:val="24"/>
          <w:szCs w:val="24"/>
        </w:rPr>
        <w:t>i</w:t>
      </w:r>
      <w:r w:rsidRPr="00C17602">
        <w:rPr>
          <w:rFonts w:ascii="Times New Roman" w:hAnsi="Times New Roman" w:cs="Times New Roman"/>
          <w:sz w:val="24"/>
          <w:szCs w:val="24"/>
        </w:rPr>
        <w:t xml:space="preserve">nternational </w:t>
      </w:r>
      <w:r>
        <w:rPr>
          <w:rFonts w:ascii="Times New Roman" w:hAnsi="Times New Roman" w:cs="Times New Roman"/>
          <w:sz w:val="24"/>
          <w:szCs w:val="24"/>
        </w:rPr>
        <w:t>t</w:t>
      </w:r>
      <w:r w:rsidRPr="00C17602">
        <w:rPr>
          <w:rFonts w:ascii="Times New Roman" w:hAnsi="Times New Roman" w:cs="Times New Roman"/>
          <w:sz w:val="24"/>
          <w:szCs w:val="24"/>
        </w:rPr>
        <w:t xml:space="preserve">ransactions </w:t>
      </w:r>
      <w:r>
        <w:rPr>
          <w:rFonts w:ascii="Times New Roman" w:hAnsi="Times New Roman" w:cs="Times New Roman"/>
          <w:sz w:val="24"/>
          <w:szCs w:val="24"/>
        </w:rPr>
        <w:t>a</w:t>
      </w:r>
      <w:r w:rsidRPr="00C17602">
        <w:rPr>
          <w:rFonts w:ascii="Times New Roman" w:hAnsi="Times New Roman" w:cs="Times New Roman"/>
          <w:sz w:val="24"/>
          <w:szCs w:val="24"/>
        </w:rPr>
        <w:t xml:space="preserve">ccounts (ITAs), which are published by BEA in news releases in March, June, September, and December and in the </w:t>
      </w:r>
      <w:hyperlink r:id="rId29" w:history="1">
        <w:r w:rsidRPr="00C17602">
          <w:rPr>
            <w:rStyle w:val="Hyperlink"/>
            <w:rFonts w:ascii="Times New Roman" w:hAnsi="Times New Roman" w:cs="Times New Roman"/>
            <w:i/>
            <w:sz w:val="24"/>
            <w:szCs w:val="24"/>
          </w:rPr>
          <w:t>Survey of Current Business</w:t>
        </w:r>
      </w:hyperlink>
      <w:r w:rsidRPr="00C17602">
        <w:rPr>
          <w:rFonts w:ascii="Times New Roman" w:hAnsi="Times New Roman" w:cs="Times New Roman"/>
          <w:sz w:val="24"/>
          <w:szCs w:val="24"/>
        </w:rPr>
        <w:t xml:space="preserve"> in the January, April, July, and October issues. The next release of the ITAs is scheduled for </w:t>
      </w:r>
      <w:r w:rsidR="0021601D">
        <w:rPr>
          <w:rFonts w:ascii="Times New Roman" w:hAnsi="Times New Roman" w:cs="Times New Roman"/>
          <w:sz w:val="24"/>
          <w:szCs w:val="24"/>
        </w:rPr>
        <w:t>June 20</w:t>
      </w:r>
      <w:r>
        <w:rPr>
          <w:rFonts w:ascii="Times New Roman" w:hAnsi="Times New Roman" w:cs="Times New Roman"/>
          <w:sz w:val="24"/>
          <w:szCs w:val="24"/>
        </w:rPr>
        <w:t>, 2018</w:t>
      </w:r>
      <w:r w:rsidRPr="00C17602">
        <w:rPr>
          <w:rFonts w:ascii="Times New Roman" w:hAnsi="Times New Roman" w:cs="Times New Roman"/>
          <w:sz w:val="24"/>
          <w:szCs w:val="24"/>
        </w:rPr>
        <w:t>.</w:t>
      </w:r>
    </w:p>
    <w:p w14:paraId="06F93214" w14:textId="0DA24C90"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 xml:space="preserve">In addition, BEA releases detailed annual </w:t>
      </w:r>
      <w:hyperlink r:id="rId30" w:anchor="reqid=62&amp;step=9&amp;isuri=1&amp;6210=4" w:history="1">
        <w:r>
          <w:rPr>
            <w:rStyle w:val="Hyperlink"/>
            <w:rFonts w:ascii="Times New Roman" w:hAnsi="Times New Roman" w:cs="Times New Roman"/>
            <w:sz w:val="24"/>
            <w:szCs w:val="24"/>
          </w:rPr>
          <w:t>i</w:t>
        </w:r>
        <w:r w:rsidRPr="00C17602">
          <w:rPr>
            <w:rStyle w:val="Hyperlink"/>
            <w:rFonts w:ascii="Times New Roman" w:hAnsi="Times New Roman" w:cs="Times New Roman"/>
            <w:sz w:val="24"/>
            <w:szCs w:val="24"/>
          </w:rPr>
          <w:t xml:space="preserve">nternational </w:t>
        </w:r>
        <w:r>
          <w:rPr>
            <w:rStyle w:val="Hyperlink"/>
            <w:rFonts w:ascii="Times New Roman" w:hAnsi="Times New Roman" w:cs="Times New Roman"/>
            <w:sz w:val="24"/>
            <w:szCs w:val="24"/>
          </w:rPr>
          <w:t>s</w:t>
        </w:r>
        <w:r w:rsidRPr="00C17602">
          <w:rPr>
            <w:rStyle w:val="Hyperlink"/>
            <w:rFonts w:ascii="Times New Roman" w:hAnsi="Times New Roman" w:cs="Times New Roman"/>
            <w:sz w:val="24"/>
            <w:szCs w:val="24"/>
          </w:rPr>
          <w:t>ervices</w:t>
        </w:r>
      </w:hyperlink>
      <w:r w:rsidRPr="00C17602">
        <w:rPr>
          <w:rFonts w:ascii="Times New Roman" w:hAnsi="Times New Roman" w:cs="Times New Roman"/>
          <w:sz w:val="24"/>
          <w:szCs w:val="24"/>
        </w:rPr>
        <w:t xml:space="preserve"> statistics, which consist of statistics on trade in services and on services supplied through affiliates of multinational enterprises. The statistics provide detail on U.S. trade in services by type and by country and area and </w:t>
      </w:r>
      <w:r>
        <w:rPr>
          <w:rFonts w:ascii="Times New Roman" w:hAnsi="Times New Roman" w:cs="Times New Roman"/>
          <w:sz w:val="24"/>
          <w:szCs w:val="24"/>
        </w:rPr>
        <w:t xml:space="preserve">detail </w:t>
      </w:r>
      <w:r w:rsidRPr="00C17602">
        <w:rPr>
          <w:rFonts w:ascii="Times New Roman" w:hAnsi="Times New Roman" w:cs="Times New Roman"/>
          <w:sz w:val="24"/>
          <w:szCs w:val="24"/>
        </w:rPr>
        <w:t>on services supplied through affiliates by industry and by country and area.</w:t>
      </w:r>
    </w:p>
    <w:p w14:paraId="2102CF68" w14:textId="77777777" w:rsidR="001705DB" w:rsidRPr="00F1113D" w:rsidRDefault="001705DB" w:rsidP="001705DB">
      <w:pPr>
        <w:spacing w:after="0"/>
        <w:ind w:left="-360"/>
        <w:rPr>
          <w:rFonts w:ascii="Arial" w:hAnsi="Arial" w:cs="Arial"/>
          <w:b/>
          <w:bCs/>
          <w:i/>
          <w:iCs/>
          <w:sz w:val="24"/>
          <w:szCs w:val="24"/>
        </w:rPr>
      </w:pPr>
      <w:r w:rsidRPr="00F1113D">
        <w:rPr>
          <w:rFonts w:ascii="Arial" w:hAnsi="Arial" w:cs="Arial"/>
          <w:b/>
          <w:bCs/>
          <w:i/>
          <w:iCs/>
          <w:sz w:val="24"/>
          <w:szCs w:val="24"/>
        </w:rPr>
        <w:t>G</w:t>
      </w:r>
      <w:r>
        <w:rPr>
          <w:rFonts w:ascii="Arial" w:hAnsi="Arial" w:cs="Arial"/>
          <w:b/>
          <w:bCs/>
          <w:i/>
          <w:iCs/>
          <w:sz w:val="24"/>
          <w:szCs w:val="24"/>
        </w:rPr>
        <w:t>oods</w:t>
      </w:r>
      <w:r w:rsidRPr="00F1113D">
        <w:rPr>
          <w:rFonts w:ascii="Arial" w:hAnsi="Arial" w:cs="Arial"/>
          <w:b/>
          <w:bCs/>
          <w:i/>
          <w:iCs/>
          <w:sz w:val="24"/>
          <w:szCs w:val="24"/>
        </w:rPr>
        <w:t xml:space="preserve"> (B</w:t>
      </w:r>
      <w:r>
        <w:rPr>
          <w:rFonts w:ascii="Arial" w:hAnsi="Arial" w:cs="Arial"/>
          <w:b/>
          <w:bCs/>
          <w:i/>
          <w:iCs/>
          <w:sz w:val="24"/>
          <w:szCs w:val="24"/>
        </w:rPr>
        <w:t>alance of Payments Basis)</w:t>
      </w:r>
    </w:p>
    <w:p w14:paraId="03DB8DB8" w14:textId="265FDC99"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 xml:space="preserve">Goods on a Census basis are adjusted by BEA to a BOP basis to align the data with the concepts and definitions used to prepare the international and national economic accounts. These adjustments, which are applied separately to exports and imports, are necessary to supplement coverage of the Census data, to </w:t>
      </w:r>
      <w:r w:rsidRPr="00C17602">
        <w:rPr>
          <w:rFonts w:ascii="Times New Roman" w:hAnsi="Times New Roman" w:cs="Times New Roman"/>
          <w:sz w:val="24"/>
          <w:szCs w:val="24"/>
        </w:rPr>
        <w:lastRenderedPageBreak/>
        <w:t xml:space="preserve">eliminate duplication of transactions recorded elsewhere in the international accounts, and to value transactions at market prices. They include both </w:t>
      </w:r>
      <w:r w:rsidRPr="00C17602">
        <w:rPr>
          <w:rFonts w:ascii="Times New Roman" w:hAnsi="Times New Roman" w:cs="Times New Roman"/>
          <w:i/>
          <w:sz w:val="24"/>
          <w:szCs w:val="24"/>
        </w:rPr>
        <w:t>additions</w:t>
      </w:r>
      <w:r w:rsidRPr="00C17602">
        <w:rPr>
          <w:rFonts w:ascii="Times New Roman" w:hAnsi="Times New Roman" w:cs="Times New Roman"/>
          <w:sz w:val="24"/>
          <w:szCs w:val="24"/>
        </w:rPr>
        <w:t xml:space="preserve"> to and </w:t>
      </w:r>
      <w:r w:rsidRPr="00C17602">
        <w:rPr>
          <w:rFonts w:ascii="Times New Roman" w:hAnsi="Times New Roman" w:cs="Times New Roman"/>
          <w:i/>
          <w:sz w:val="24"/>
          <w:szCs w:val="24"/>
        </w:rPr>
        <w:t>deductions</w:t>
      </w:r>
      <w:r w:rsidRPr="00C17602">
        <w:rPr>
          <w:rFonts w:ascii="Times New Roman" w:hAnsi="Times New Roman" w:cs="Times New Roman"/>
          <w:sz w:val="24"/>
          <w:szCs w:val="24"/>
        </w:rPr>
        <w:t xml:space="preserve"> from goods on a Census basis and are presented in this release as </w:t>
      </w:r>
      <w:r w:rsidRPr="00C17602">
        <w:rPr>
          <w:rFonts w:ascii="Times New Roman" w:hAnsi="Times New Roman" w:cs="Times New Roman"/>
          <w:i/>
          <w:sz w:val="24"/>
          <w:szCs w:val="24"/>
        </w:rPr>
        <w:t>net adjustments</w:t>
      </w:r>
      <w:r w:rsidRPr="00C17602">
        <w:rPr>
          <w:rFonts w:ascii="Times New Roman" w:hAnsi="Times New Roman" w:cs="Times New Roman"/>
          <w:sz w:val="24"/>
          <w:szCs w:val="24"/>
        </w:rPr>
        <w:t xml:space="preserve">. Adjustments that exhibit significant seasonal patterns are seasonally adjusted. BEA also publishes more detailed quarterly and annual statistics for </w:t>
      </w:r>
      <w:r w:rsidRPr="00C17602">
        <w:rPr>
          <w:rFonts w:ascii="Times New Roman" w:hAnsi="Times New Roman" w:cs="Times New Roman"/>
          <w:i/>
          <w:sz w:val="24"/>
          <w:szCs w:val="24"/>
        </w:rPr>
        <w:t>net adjustments</w:t>
      </w:r>
      <w:r w:rsidRPr="00C17602">
        <w:rPr>
          <w:rFonts w:ascii="Times New Roman" w:hAnsi="Times New Roman" w:cs="Times New Roman"/>
          <w:sz w:val="24"/>
          <w:szCs w:val="24"/>
        </w:rPr>
        <w:t xml:space="preserve"> in </w:t>
      </w:r>
      <w:hyperlink r:id="rId31" w:history="1">
        <w:r w:rsidRPr="00C17602">
          <w:rPr>
            <w:rStyle w:val="Hyperlink"/>
            <w:rFonts w:ascii="Times New Roman" w:hAnsi="Times New Roman" w:cs="Times New Roman"/>
            <w:sz w:val="24"/>
            <w:szCs w:val="24"/>
          </w:rPr>
          <w:t>ITA Table 2.4. U.S. International Trade in Goods, Balance of Payments Adjustments</w:t>
        </w:r>
      </w:hyperlink>
      <w:r w:rsidRPr="00C17602">
        <w:rPr>
          <w:rFonts w:ascii="Times New Roman" w:hAnsi="Times New Roman" w:cs="Times New Roman"/>
          <w:sz w:val="24"/>
          <w:szCs w:val="24"/>
        </w:rPr>
        <w:t xml:space="preserve"> and in the January, April, July, and October issues of the </w:t>
      </w:r>
      <w:r w:rsidRPr="00C17602">
        <w:rPr>
          <w:rFonts w:ascii="Times New Roman" w:hAnsi="Times New Roman" w:cs="Times New Roman"/>
          <w:i/>
          <w:sz w:val="24"/>
          <w:szCs w:val="24"/>
        </w:rPr>
        <w:t>Survey of Current Business</w:t>
      </w:r>
      <w:r w:rsidRPr="00C17602">
        <w:rPr>
          <w:rFonts w:ascii="Times New Roman" w:hAnsi="Times New Roman" w:cs="Times New Roman"/>
          <w:sz w:val="24"/>
          <w:szCs w:val="24"/>
        </w:rPr>
        <w:t>.</w:t>
      </w:r>
    </w:p>
    <w:p w14:paraId="18D88385"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The export adjustments include:</w:t>
      </w:r>
    </w:p>
    <w:p w14:paraId="453A3738"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bCs/>
          <w:sz w:val="24"/>
          <w:szCs w:val="24"/>
        </w:rPr>
        <w:t>Exports under U.S. military sales contracts</w:t>
      </w:r>
      <w:r w:rsidRPr="002F628E">
        <w:rPr>
          <w:rFonts w:ascii="Times New Roman" w:hAnsi="Times New Roman" w:cs="Times New Roman"/>
          <w:sz w:val="24"/>
          <w:szCs w:val="24"/>
        </w:rPr>
        <w:t xml:space="preserve"> -Th</w:t>
      </w:r>
      <w:r w:rsidRPr="00C17602">
        <w:rPr>
          <w:rFonts w:ascii="Times New Roman" w:hAnsi="Times New Roman" w:cs="Times New Roman"/>
          <w:sz w:val="24"/>
          <w:szCs w:val="24"/>
        </w:rPr>
        <w:t xml:space="preserve">is adjustment reflects the net amount of two separate adjustments. BEA first </w:t>
      </w:r>
      <w:r w:rsidRPr="00C17602">
        <w:rPr>
          <w:rFonts w:ascii="Times New Roman" w:hAnsi="Times New Roman" w:cs="Times New Roman"/>
          <w:i/>
          <w:sz w:val="24"/>
          <w:szCs w:val="24"/>
        </w:rPr>
        <w:t>deducts</w:t>
      </w:r>
      <w:r w:rsidRPr="00C17602">
        <w:rPr>
          <w:rFonts w:ascii="Times New Roman" w:hAnsi="Times New Roman" w:cs="Times New Roman"/>
          <w:sz w:val="24"/>
          <w:szCs w:val="24"/>
        </w:rPr>
        <w:t xml:space="preserve"> goods identified in the Census data as exports under the U.S. Foreign Military Sales program. BEA then </w:t>
      </w:r>
      <w:r w:rsidRPr="00C17602">
        <w:rPr>
          <w:rFonts w:ascii="Times New Roman" w:hAnsi="Times New Roman" w:cs="Times New Roman"/>
          <w:i/>
          <w:sz w:val="24"/>
          <w:szCs w:val="24"/>
        </w:rPr>
        <w:t>adds</w:t>
      </w:r>
      <w:r w:rsidRPr="00C17602">
        <w:rPr>
          <w:rFonts w:ascii="Times New Roman" w:hAnsi="Times New Roman" w:cs="Times New Roman"/>
          <w:sz w:val="24"/>
          <w:szCs w:val="24"/>
        </w:rPr>
        <w:t xml:space="preserve"> primary source data for these exports, which are reported to BEA by the U.S. Department of Defense.</w:t>
      </w:r>
    </w:p>
    <w:p w14:paraId="65653822"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bCs/>
          <w:sz w:val="24"/>
          <w:szCs w:val="24"/>
        </w:rPr>
        <w:t>Gold exports, nonmonetary</w:t>
      </w:r>
      <w:r w:rsidRPr="002F628E">
        <w:rPr>
          <w:rFonts w:ascii="Times New Roman" w:hAnsi="Times New Roman" w:cs="Times New Roman"/>
          <w:bCs/>
          <w:sz w:val="24"/>
          <w:szCs w:val="24"/>
        </w:rPr>
        <w:t xml:space="preserve"> - Thi</w:t>
      </w:r>
      <w:r w:rsidRPr="00C17602">
        <w:rPr>
          <w:rFonts w:ascii="Times New Roman" w:hAnsi="Times New Roman" w:cs="Times New Roman"/>
          <w:bCs/>
          <w:sz w:val="24"/>
          <w:szCs w:val="24"/>
        </w:rPr>
        <w:t>s</w:t>
      </w:r>
      <w:r w:rsidRPr="00C17602">
        <w:rPr>
          <w:rFonts w:ascii="Times New Roman" w:hAnsi="Times New Roman" w:cs="Times New Roman"/>
          <w:b/>
          <w:bCs/>
          <w:sz w:val="24"/>
          <w:szCs w:val="24"/>
        </w:rPr>
        <w:t xml:space="preserve"> </w:t>
      </w:r>
      <w:r w:rsidRPr="00C17602">
        <w:rPr>
          <w:rFonts w:ascii="Times New Roman" w:hAnsi="Times New Roman" w:cs="Times New Roman"/>
          <w:bCs/>
          <w:i/>
          <w:sz w:val="24"/>
          <w:szCs w:val="24"/>
        </w:rPr>
        <w:t>addition</w:t>
      </w:r>
      <w:r w:rsidRPr="00C17602">
        <w:rPr>
          <w:rFonts w:ascii="Times New Roman" w:hAnsi="Times New Roman" w:cs="Times New Roman"/>
          <w:bCs/>
          <w:sz w:val="24"/>
          <w:szCs w:val="24"/>
        </w:rPr>
        <w:t xml:space="preserve"> is made for gold that is purchased by foreign official agencies from private dealers in the United States and held at the Federal Reserve Bank of New York. The Census data only include gold that leaves the U.S. customs territory.</w:t>
      </w:r>
    </w:p>
    <w:p w14:paraId="7727538E" w14:textId="77777777" w:rsidR="001705DB" w:rsidRPr="00C17602" w:rsidRDefault="001705DB" w:rsidP="001705DB">
      <w:pPr>
        <w:spacing w:after="120"/>
        <w:ind w:left="-360"/>
        <w:rPr>
          <w:rFonts w:ascii="Times New Roman" w:hAnsi="Times New Roman" w:cs="Times New Roman"/>
          <w:bCs/>
          <w:sz w:val="24"/>
          <w:szCs w:val="24"/>
        </w:rPr>
      </w:pPr>
      <w:r w:rsidRPr="00C17602">
        <w:rPr>
          <w:rFonts w:ascii="Times New Roman" w:hAnsi="Times New Roman" w:cs="Times New Roman"/>
          <w:b/>
          <w:bCs/>
          <w:sz w:val="24"/>
          <w:szCs w:val="24"/>
        </w:rPr>
        <w:t>Goods procured in U.S. ports by foreign carriers</w:t>
      </w:r>
      <w:r w:rsidRPr="002F628E">
        <w:rPr>
          <w:rFonts w:ascii="Times New Roman" w:hAnsi="Times New Roman" w:cs="Times New Roman"/>
          <w:bCs/>
          <w:sz w:val="24"/>
          <w:szCs w:val="24"/>
        </w:rPr>
        <w:t xml:space="preserve"> - </w:t>
      </w:r>
      <w:r w:rsidRPr="002F628E">
        <w:rPr>
          <w:rFonts w:ascii="Times New Roman" w:hAnsi="Times New Roman" w:cs="Times New Roman"/>
          <w:sz w:val="24"/>
          <w:szCs w:val="24"/>
        </w:rPr>
        <w:t>T</w:t>
      </w:r>
      <w:r w:rsidRPr="00C17602">
        <w:rPr>
          <w:rFonts w:ascii="Times New Roman" w:hAnsi="Times New Roman" w:cs="Times New Roman"/>
          <w:bCs/>
          <w:sz w:val="24"/>
          <w:szCs w:val="24"/>
        </w:rPr>
        <w:t xml:space="preserve">his </w:t>
      </w:r>
      <w:r w:rsidRPr="00C17602">
        <w:rPr>
          <w:rFonts w:ascii="Times New Roman" w:hAnsi="Times New Roman" w:cs="Times New Roman"/>
          <w:bCs/>
          <w:i/>
          <w:sz w:val="24"/>
          <w:szCs w:val="24"/>
        </w:rPr>
        <w:t>addition</w:t>
      </w:r>
      <w:r w:rsidRPr="00C17602">
        <w:rPr>
          <w:rFonts w:ascii="Times New Roman" w:hAnsi="Times New Roman" w:cs="Times New Roman"/>
          <w:bCs/>
          <w:sz w:val="24"/>
          <w:szCs w:val="24"/>
        </w:rPr>
        <w:t xml:space="preserve"> is made for foreign air and ocean carriers’ fuel purchases in U.S. ports.</w:t>
      </w:r>
    </w:p>
    <w:p w14:paraId="3ABD5B4F" w14:textId="77777777" w:rsidR="001705DB" w:rsidRPr="00C17602" w:rsidRDefault="001705DB" w:rsidP="001705DB">
      <w:pPr>
        <w:spacing w:after="120"/>
        <w:ind w:left="-360"/>
        <w:rPr>
          <w:rFonts w:ascii="Times New Roman" w:hAnsi="Times New Roman" w:cs="Times New Roman"/>
          <w:bCs/>
          <w:sz w:val="24"/>
          <w:szCs w:val="24"/>
        </w:rPr>
      </w:pPr>
      <w:r w:rsidRPr="00C17602">
        <w:rPr>
          <w:rFonts w:ascii="Times New Roman" w:hAnsi="Times New Roman" w:cs="Times New Roman"/>
          <w:b/>
          <w:bCs/>
          <w:sz w:val="24"/>
          <w:szCs w:val="24"/>
        </w:rPr>
        <w:t xml:space="preserve">Net exports of goods under </w:t>
      </w:r>
      <w:proofErr w:type="spellStart"/>
      <w:r w:rsidRPr="00C17602">
        <w:rPr>
          <w:rFonts w:ascii="Times New Roman" w:hAnsi="Times New Roman" w:cs="Times New Roman"/>
          <w:b/>
          <w:bCs/>
          <w:sz w:val="24"/>
          <w:szCs w:val="24"/>
        </w:rPr>
        <w:t>merchanting</w:t>
      </w:r>
      <w:proofErr w:type="spellEnd"/>
      <w:r w:rsidRPr="002F628E">
        <w:rPr>
          <w:rFonts w:ascii="Times New Roman" w:hAnsi="Times New Roman" w:cs="Times New Roman"/>
          <w:bCs/>
          <w:sz w:val="24"/>
          <w:szCs w:val="24"/>
        </w:rPr>
        <w:t xml:space="preserve"> - T</w:t>
      </w:r>
      <w:r w:rsidRPr="00C17602">
        <w:rPr>
          <w:rFonts w:ascii="Times New Roman" w:hAnsi="Times New Roman" w:cs="Times New Roman"/>
          <w:bCs/>
          <w:sz w:val="24"/>
          <w:szCs w:val="24"/>
        </w:rPr>
        <w:t xml:space="preserve">his </w:t>
      </w:r>
      <w:r w:rsidRPr="00C17602">
        <w:rPr>
          <w:rFonts w:ascii="Times New Roman" w:hAnsi="Times New Roman" w:cs="Times New Roman"/>
          <w:bCs/>
          <w:i/>
          <w:sz w:val="24"/>
          <w:szCs w:val="24"/>
        </w:rPr>
        <w:t>addition</w:t>
      </w:r>
      <w:r w:rsidRPr="00C17602">
        <w:rPr>
          <w:rFonts w:ascii="Times New Roman" w:hAnsi="Times New Roman" w:cs="Times New Roman"/>
          <w:bCs/>
          <w:sz w:val="24"/>
          <w:szCs w:val="24"/>
        </w:rPr>
        <w:t xml:space="preserve"> is made to include the net value of the purchase and subsequent resale of goods abroad without the goods entering the United States. Because these goods do not cross the U.S. customs frontier, their value is not recorded in the Census data.</w:t>
      </w:r>
    </w:p>
    <w:p w14:paraId="0D64AEC2"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Other adjustments to exports include:</w:t>
      </w:r>
    </w:p>
    <w:p w14:paraId="6A90FFC5"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i/>
          <w:sz w:val="24"/>
          <w:szCs w:val="24"/>
        </w:rPr>
        <w:t>Deductions</w:t>
      </w:r>
      <w:r w:rsidRPr="00C17602">
        <w:rPr>
          <w:rFonts w:ascii="Times New Roman" w:hAnsi="Times New Roman" w:cs="Times New Roman"/>
          <w:sz w:val="24"/>
          <w:szCs w:val="24"/>
        </w:rPr>
        <w:t xml:space="preserve"> for equipment repairs (parts and labor), developed motion picture film, and military grant-aid. </w:t>
      </w:r>
      <w:r w:rsidRPr="00C17602">
        <w:rPr>
          <w:rFonts w:ascii="Times New Roman" w:hAnsi="Times New Roman" w:cs="Times New Roman"/>
          <w:i/>
          <w:sz w:val="24"/>
          <w:szCs w:val="24"/>
        </w:rPr>
        <w:t>Additions</w:t>
      </w:r>
      <w:r w:rsidRPr="00C17602">
        <w:rPr>
          <w:rFonts w:ascii="Times New Roman" w:hAnsi="Times New Roman" w:cs="Times New Roman"/>
          <w:sz w:val="24"/>
          <w:szCs w:val="24"/>
        </w:rPr>
        <w:t xml:space="preserve"> for sales of fish caught in U.S. territorial waters, exports of electricity to Mexico, private gift parcels, vessels and oil rigs for which ownership changes, valuation of software exports at market value, and low-value (below reporting threshold) transactions for 1999–2009 to phase in a revised Census Bureau low-value methodology that was implemented for goods on a Census basis beginning with statistics for 2010.</w:t>
      </w:r>
    </w:p>
    <w:p w14:paraId="57B12AB7"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The import adjustments include:</w:t>
      </w:r>
    </w:p>
    <w:p w14:paraId="42C09BE0"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bCs/>
          <w:sz w:val="24"/>
          <w:szCs w:val="24"/>
        </w:rPr>
        <w:t>Gold imports, nonmonetary</w:t>
      </w:r>
      <w:r w:rsidRPr="002F628E">
        <w:rPr>
          <w:rFonts w:ascii="Times New Roman" w:hAnsi="Times New Roman" w:cs="Times New Roman"/>
          <w:bCs/>
          <w:sz w:val="24"/>
          <w:szCs w:val="24"/>
        </w:rPr>
        <w:t xml:space="preserve"> - T</w:t>
      </w:r>
      <w:r w:rsidRPr="00C17602">
        <w:rPr>
          <w:rFonts w:ascii="Times New Roman" w:hAnsi="Times New Roman" w:cs="Times New Roman"/>
          <w:bCs/>
          <w:sz w:val="24"/>
          <w:szCs w:val="24"/>
        </w:rPr>
        <w:t>his</w:t>
      </w:r>
      <w:r w:rsidRPr="00C17602">
        <w:rPr>
          <w:rFonts w:ascii="Times New Roman" w:hAnsi="Times New Roman" w:cs="Times New Roman"/>
          <w:b/>
          <w:bCs/>
          <w:sz w:val="24"/>
          <w:szCs w:val="24"/>
        </w:rPr>
        <w:t xml:space="preserve"> </w:t>
      </w:r>
      <w:r w:rsidRPr="00C17602">
        <w:rPr>
          <w:rFonts w:ascii="Times New Roman" w:hAnsi="Times New Roman" w:cs="Times New Roman"/>
          <w:i/>
          <w:sz w:val="24"/>
          <w:szCs w:val="24"/>
        </w:rPr>
        <w:t>addition</w:t>
      </w:r>
      <w:r w:rsidRPr="00C17602">
        <w:rPr>
          <w:rFonts w:ascii="Times New Roman" w:hAnsi="Times New Roman" w:cs="Times New Roman"/>
          <w:sz w:val="24"/>
          <w:szCs w:val="24"/>
        </w:rPr>
        <w:t xml:space="preserve"> is made for gold sold by foreign official agencies to private purchasers out of stock held at the Federal Reserve Bank of New York. The Census data only include gold that enters the U.S. customs territory.</w:t>
      </w:r>
    </w:p>
    <w:p w14:paraId="7228C1B4"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bCs/>
          <w:sz w:val="24"/>
          <w:szCs w:val="24"/>
        </w:rPr>
        <w:t>Goods procured in foreign ports by U.S. carriers</w:t>
      </w:r>
      <w:r w:rsidRPr="002F628E">
        <w:rPr>
          <w:rFonts w:ascii="Times New Roman" w:hAnsi="Times New Roman" w:cs="Times New Roman"/>
          <w:bCs/>
          <w:sz w:val="24"/>
          <w:szCs w:val="24"/>
        </w:rPr>
        <w:t xml:space="preserve"> - </w:t>
      </w:r>
      <w:r w:rsidRPr="002F628E">
        <w:rPr>
          <w:rFonts w:ascii="Times New Roman" w:hAnsi="Times New Roman" w:cs="Times New Roman"/>
          <w:sz w:val="24"/>
          <w:szCs w:val="24"/>
        </w:rPr>
        <w:t>T</w:t>
      </w:r>
      <w:r w:rsidRPr="002F628E">
        <w:rPr>
          <w:rFonts w:ascii="Times New Roman" w:hAnsi="Times New Roman" w:cs="Times New Roman"/>
          <w:bCs/>
          <w:sz w:val="24"/>
          <w:szCs w:val="24"/>
        </w:rPr>
        <w:t>h</w:t>
      </w:r>
      <w:r w:rsidRPr="00C17602">
        <w:rPr>
          <w:rFonts w:ascii="Times New Roman" w:hAnsi="Times New Roman" w:cs="Times New Roman"/>
          <w:bCs/>
          <w:sz w:val="24"/>
          <w:szCs w:val="24"/>
        </w:rPr>
        <w:t xml:space="preserve">is </w:t>
      </w:r>
      <w:r w:rsidRPr="00C17602">
        <w:rPr>
          <w:rFonts w:ascii="Times New Roman" w:hAnsi="Times New Roman" w:cs="Times New Roman"/>
          <w:bCs/>
          <w:i/>
          <w:sz w:val="24"/>
          <w:szCs w:val="24"/>
        </w:rPr>
        <w:t>addition</w:t>
      </w:r>
      <w:r w:rsidRPr="00C17602">
        <w:rPr>
          <w:rFonts w:ascii="Times New Roman" w:hAnsi="Times New Roman" w:cs="Times New Roman"/>
          <w:bCs/>
          <w:sz w:val="24"/>
          <w:szCs w:val="24"/>
        </w:rPr>
        <w:t xml:space="preserve"> is made for U.S. air and ocean carriers’ fuel purchases in foreign ports.</w:t>
      </w:r>
    </w:p>
    <w:p w14:paraId="209C14B9"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bCs/>
          <w:sz w:val="24"/>
          <w:szCs w:val="24"/>
        </w:rPr>
        <w:lastRenderedPageBreak/>
        <w:t>Imports by U.S. military agencies</w:t>
      </w:r>
      <w:r w:rsidRPr="002F628E">
        <w:rPr>
          <w:rFonts w:ascii="Times New Roman" w:hAnsi="Times New Roman" w:cs="Times New Roman"/>
          <w:bCs/>
          <w:sz w:val="24"/>
          <w:szCs w:val="24"/>
        </w:rPr>
        <w:t xml:space="preserve"> - T</w:t>
      </w:r>
      <w:r w:rsidRPr="00C17602">
        <w:rPr>
          <w:rFonts w:ascii="Times New Roman" w:hAnsi="Times New Roman" w:cs="Times New Roman"/>
          <w:sz w:val="24"/>
          <w:szCs w:val="24"/>
        </w:rPr>
        <w:t xml:space="preserve">his </w:t>
      </w:r>
      <w:r w:rsidRPr="00C17602">
        <w:rPr>
          <w:rFonts w:ascii="Times New Roman" w:hAnsi="Times New Roman" w:cs="Times New Roman"/>
          <w:i/>
          <w:sz w:val="24"/>
          <w:szCs w:val="24"/>
        </w:rPr>
        <w:t>addition</w:t>
      </w:r>
      <w:r w:rsidRPr="00C17602">
        <w:rPr>
          <w:rFonts w:ascii="Times New Roman" w:hAnsi="Times New Roman" w:cs="Times New Roman"/>
          <w:sz w:val="24"/>
          <w:szCs w:val="24"/>
        </w:rPr>
        <w:t xml:space="preserve"> is made for purchases of goods abroad by U.S. military agencies, which are reported to BEA by the Department of Defense. The Census data only include imports of goods by U.S. military agencies that enter the U.S. customs territory.</w:t>
      </w:r>
    </w:p>
    <w:p w14:paraId="1ED3BA47"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bCs/>
          <w:sz w:val="24"/>
          <w:szCs w:val="24"/>
        </w:rPr>
        <w:t>Inland freight in Canada and Mexico</w:t>
      </w:r>
      <w:r w:rsidRPr="002F628E">
        <w:rPr>
          <w:rFonts w:ascii="Times New Roman" w:hAnsi="Times New Roman" w:cs="Times New Roman"/>
          <w:bCs/>
          <w:sz w:val="24"/>
          <w:szCs w:val="24"/>
        </w:rPr>
        <w:t xml:space="preserve"> - T</w:t>
      </w:r>
      <w:r w:rsidRPr="00C17602">
        <w:rPr>
          <w:rFonts w:ascii="Times New Roman" w:hAnsi="Times New Roman" w:cs="Times New Roman"/>
          <w:bCs/>
          <w:sz w:val="24"/>
          <w:szCs w:val="24"/>
        </w:rPr>
        <w:t>his</w:t>
      </w:r>
      <w:r w:rsidRPr="00C17602">
        <w:rPr>
          <w:rFonts w:ascii="Times New Roman" w:hAnsi="Times New Roman" w:cs="Times New Roman"/>
          <w:b/>
          <w:bCs/>
          <w:sz w:val="24"/>
          <w:szCs w:val="24"/>
        </w:rPr>
        <w:t xml:space="preserve"> </w:t>
      </w:r>
      <w:r w:rsidRPr="00C17602">
        <w:rPr>
          <w:rFonts w:ascii="Times New Roman" w:hAnsi="Times New Roman" w:cs="Times New Roman"/>
          <w:i/>
          <w:sz w:val="24"/>
          <w:szCs w:val="24"/>
        </w:rPr>
        <w:t>addition</w:t>
      </w:r>
      <w:r w:rsidRPr="00C17602">
        <w:rPr>
          <w:rFonts w:ascii="Times New Roman" w:hAnsi="Times New Roman" w:cs="Times New Roman"/>
          <w:sz w:val="24"/>
          <w:szCs w:val="24"/>
        </w:rPr>
        <w:t xml:space="preserve"> is made for inland freight in Canada and Mexico. Imports of goods from all countries should be valued at the customs value—the value at the foreign port of export including inland freight charges. For imports from Canada and Mexico, this should be the cost of the goods at the U.S. border. However, the customs value for imports for certain Canadian and Mexican goods is the point of origin in Canada or Mexico. BEA makes an </w:t>
      </w:r>
      <w:r w:rsidRPr="00C17602">
        <w:rPr>
          <w:rFonts w:ascii="Times New Roman" w:hAnsi="Times New Roman" w:cs="Times New Roman"/>
          <w:i/>
          <w:sz w:val="24"/>
          <w:szCs w:val="24"/>
        </w:rPr>
        <w:t>addition</w:t>
      </w:r>
      <w:r w:rsidRPr="00C17602">
        <w:rPr>
          <w:rFonts w:ascii="Times New Roman" w:hAnsi="Times New Roman" w:cs="Times New Roman"/>
          <w:sz w:val="24"/>
          <w:szCs w:val="24"/>
        </w:rPr>
        <w:t xml:space="preserve"> for the inland freight charges of transporting these goods to the U.S. border to make the value comparable to the customs value reported for imports from other countries.</w:t>
      </w:r>
    </w:p>
    <w:p w14:paraId="3B9DEAB1"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Other adjustments to imports include:</w:t>
      </w:r>
    </w:p>
    <w:p w14:paraId="34416B48"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i/>
          <w:sz w:val="24"/>
          <w:szCs w:val="24"/>
        </w:rPr>
        <w:t>Deductions</w:t>
      </w:r>
      <w:r w:rsidRPr="00C17602">
        <w:rPr>
          <w:rFonts w:ascii="Times New Roman" w:hAnsi="Times New Roman" w:cs="Times New Roman"/>
          <w:sz w:val="24"/>
          <w:szCs w:val="24"/>
        </w:rPr>
        <w:t xml:space="preserve"> for equipment repairs (parts and labor), repairs to U.S. vessels abroad, and developed motion picture film.  </w:t>
      </w:r>
      <w:r w:rsidRPr="00C17602">
        <w:rPr>
          <w:rFonts w:ascii="Times New Roman" w:hAnsi="Times New Roman" w:cs="Times New Roman"/>
          <w:i/>
          <w:sz w:val="24"/>
          <w:szCs w:val="24"/>
        </w:rPr>
        <w:t>Additions</w:t>
      </w:r>
      <w:r w:rsidRPr="00C17602">
        <w:rPr>
          <w:rFonts w:ascii="Times New Roman" w:hAnsi="Times New Roman" w:cs="Times New Roman"/>
          <w:sz w:val="24"/>
          <w:szCs w:val="24"/>
        </w:rPr>
        <w:t xml:space="preserve"> for non-reported imports of locomotives and railcars, imports of electricity from Mexico, conversion of vessels for commercial use, valuation of software imports at market value, and low-value (below reporting threshold) transactions for 1999–2009 to phase in a revised Census Bureau low-value methodology that was implemented for goods on a Census basis beginning with statistics for 2010.</w:t>
      </w:r>
    </w:p>
    <w:p w14:paraId="4CBD80F9" w14:textId="77777777" w:rsidR="001705DB" w:rsidRPr="00F1113D" w:rsidRDefault="001705DB" w:rsidP="001705DB">
      <w:pPr>
        <w:spacing w:after="0"/>
        <w:ind w:left="-360"/>
        <w:rPr>
          <w:rFonts w:ascii="Arial" w:hAnsi="Arial" w:cs="Arial"/>
          <w:b/>
          <w:bCs/>
          <w:i/>
          <w:sz w:val="24"/>
          <w:szCs w:val="24"/>
        </w:rPr>
      </w:pPr>
      <w:r w:rsidRPr="00F1113D">
        <w:rPr>
          <w:rFonts w:ascii="Arial" w:hAnsi="Arial" w:cs="Arial"/>
          <w:b/>
          <w:bCs/>
          <w:i/>
          <w:sz w:val="24"/>
          <w:szCs w:val="24"/>
        </w:rPr>
        <w:t>S</w:t>
      </w:r>
      <w:r>
        <w:rPr>
          <w:rFonts w:ascii="Arial" w:hAnsi="Arial" w:cs="Arial"/>
          <w:b/>
          <w:bCs/>
          <w:i/>
          <w:sz w:val="24"/>
          <w:szCs w:val="24"/>
        </w:rPr>
        <w:t>ervices</w:t>
      </w:r>
    </w:p>
    <w:p w14:paraId="1D09A5CE"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The services statistics cover transactions between foreign countries and the 50 states, the District of Columbia, Puerto Rico, the U.S. Virgin Islands, and other U.S. territories and possessions. Transactions with U.S. military, diplomatic, and consular installations abroad are excluded because these installations are considered to be part of the U.S. economy.</w:t>
      </w:r>
    </w:p>
    <w:p w14:paraId="162A7F0B" w14:textId="469E9A78"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Services statistics are based on quarterly, annual, and benchmark surveys and information obtained from monthly government and industry reports. For categories for which monthly data are not available, monthly statistics are derived from quarterly statistics through temporal distribution, or interpolation. The interpolation methodology used by BEA is the modified Denton proportional first difference method. This method preserves the pattern of the monthly indicator series, if available, while satisfying the annual aggregation constraints. See “</w:t>
      </w:r>
      <w:hyperlink r:id="rId32" w:history="1">
        <w:r w:rsidRPr="00C17602">
          <w:rPr>
            <w:rStyle w:val="Hyperlink"/>
            <w:rFonts w:ascii="Times New Roman" w:hAnsi="Times New Roman" w:cs="Times New Roman"/>
            <w:sz w:val="24"/>
            <w:szCs w:val="24"/>
          </w:rPr>
          <w:t>An Empirical Review of Methods for Temporal Distribution and Interpolation in the National Accounts</w:t>
        </w:r>
      </w:hyperlink>
      <w:r w:rsidRPr="00C17602">
        <w:rPr>
          <w:rFonts w:ascii="Times New Roman" w:hAnsi="Times New Roman" w:cs="Times New Roman"/>
          <w:sz w:val="24"/>
          <w:szCs w:val="24"/>
        </w:rPr>
        <w:t xml:space="preserve">” </w:t>
      </w:r>
      <w:r>
        <w:rPr>
          <w:rFonts w:ascii="Times New Roman" w:hAnsi="Times New Roman" w:cs="Times New Roman"/>
          <w:sz w:val="24"/>
          <w:szCs w:val="24"/>
        </w:rPr>
        <w:t xml:space="preserve">(May 2008) </w:t>
      </w:r>
      <w:r w:rsidRPr="00C17602">
        <w:rPr>
          <w:rFonts w:ascii="Times New Roman" w:hAnsi="Times New Roman" w:cs="Times New Roman"/>
          <w:sz w:val="24"/>
          <w:szCs w:val="24"/>
        </w:rPr>
        <w:t>for more information. Services are seasonally adjusted when statistically significant seasonal patterns are present.</w:t>
      </w:r>
    </w:p>
    <w:p w14:paraId="77588D1A"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Services are shown in nine broad categories. The following is a brief description of the types of services included in each category:</w:t>
      </w:r>
    </w:p>
    <w:p w14:paraId="1B2A22EC" w14:textId="77777777" w:rsidR="001705DB" w:rsidRPr="00C17602" w:rsidRDefault="001705DB" w:rsidP="001705DB">
      <w:pPr>
        <w:spacing w:after="120"/>
        <w:ind w:left="-360"/>
        <w:rPr>
          <w:rFonts w:ascii="Times New Roman" w:hAnsi="Times New Roman" w:cs="Times New Roman"/>
          <w:bCs/>
          <w:sz w:val="24"/>
          <w:szCs w:val="24"/>
        </w:rPr>
      </w:pPr>
      <w:r w:rsidRPr="00C17602">
        <w:rPr>
          <w:rFonts w:ascii="Times New Roman" w:hAnsi="Times New Roman" w:cs="Times New Roman"/>
          <w:b/>
          <w:bCs/>
          <w:sz w:val="24"/>
          <w:szCs w:val="24"/>
        </w:rPr>
        <w:t xml:space="preserve">Maintenance and repair services </w:t>
      </w:r>
      <w:proofErr w:type="spellStart"/>
      <w:r w:rsidRPr="00C17602">
        <w:rPr>
          <w:rFonts w:ascii="Times New Roman" w:hAnsi="Times New Roman" w:cs="Times New Roman"/>
          <w:b/>
          <w:bCs/>
          <w:sz w:val="24"/>
          <w:szCs w:val="24"/>
        </w:rPr>
        <w:t>n.i.e</w:t>
      </w:r>
      <w:proofErr w:type="spellEnd"/>
      <w:r w:rsidRPr="00C17602">
        <w:rPr>
          <w:rFonts w:ascii="Times New Roman" w:hAnsi="Times New Roman" w:cs="Times New Roman"/>
          <w:b/>
          <w:bCs/>
          <w:sz w:val="24"/>
          <w:szCs w:val="24"/>
        </w:rPr>
        <w:t>. (not included elsewhere)</w:t>
      </w:r>
      <w:r w:rsidRPr="002F628E">
        <w:rPr>
          <w:rFonts w:ascii="Times New Roman" w:hAnsi="Times New Roman" w:cs="Times New Roman"/>
          <w:bCs/>
          <w:sz w:val="24"/>
          <w:szCs w:val="24"/>
        </w:rPr>
        <w:t xml:space="preserve"> - C</w:t>
      </w:r>
      <w:r w:rsidRPr="00C17602">
        <w:rPr>
          <w:rFonts w:ascii="Times New Roman" w:hAnsi="Times New Roman" w:cs="Times New Roman"/>
          <w:bCs/>
          <w:sz w:val="24"/>
          <w:szCs w:val="24"/>
        </w:rPr>
        <w:t xml:space="preserve">onsists of </w:t>
      </w:r>
      <w:r w:rsidRPr="00C17602">
        <w:rPr>
          <w:rFonts w:ascii="Times New Roman" w:hAnsi="Times New Roman" w:cs="Times New Roman"/>
          <w:sz w:val="24"/>
          <w:szCs w:val="24"/>
        </w:rPr>
        <w:t xml:space="preserve">maintenance and repair services performed by residents of one country on goods that are owned by residents of another country. </w:t>
      </w:r>
      <w:r w:rsidRPr="00C17602">
        <w:rPr>
          <w:rFonts w:ascii="Times New Roman" w:hAnsi="Times New Roman" w:cs="Times New Roman"/>
          <w:sz w:val="24"/>
          <w:szCs w:val="24"/>
        </w:rPr>
        <w:lastRenderedPageBreak/>
        <w:t>The repairs may be performed at the site of the repair facility or elsewhere. Excludes such services in which the cost is included in the price of the goods and is not billed separately or is declared as a part of the price of the goods on the import or export declaration filed with the U.S. Customs and Border Protection. Maintenance and repair of computers are included under computer services, and some maintenance and repair of ships, aircraft, and other transport equipment are included under transport services.</w:t>
      </w:r>
    </w:p>
    <w:p w14:paraId="3A8A709B" w14:textId="77777777" w:rsidR="001705DB" w:rsidRPr="00C17602" w:rsidRDefault="001705DB" w:rsidP="001705DB">
      <w:pPr>
        <w:spacing w:after="120"/>
        <w:ind w:left="-360"/>
        <w:rPr>
          <w:rFonts w:ascii="Times New Roman" w:hAnsi="Times New Roman" w:cs="Times New Roman"/>
          <w:b/>
          <w:bCs/>
          <w:sz w:val="24"/>
          <w:szCs w:val="24"/>
        </w:rPr>
      </w:pPr>
      <w:r w:rsidRPr="00C17602">
        <w:rPr>
          <w:rFonts w:ascii="Times New Roman" w:hAnsi="Times New Roman" w:cs="Times New Roman"/>
          <w:b/>
          <w:bCs/>
          <w:sz w:val="24"/>
          <w:szCs w:val="24"/>
        </w:rPr>
        <w:t>Transport</w:t>
      </w:r>
      <w:r w:rsidRPr="002F628E">
        <w:rPr>
          <w:rFonts w:ascii="Times New Roman" w:hAnsi="Times New Roman" w:cs="Times New Roman"/>
          <w:sz w:val="24"/>
          <w:szCs w:val="24"/>
        </w:rPr>
        <w:t xml:space="preserve"> - C</w:t>
      </w:r>
      <w:r w:rsidRPr="00C17602">
        <w:rPr>
          <w:rFonts w:ascii="Times New Roman" w:hAnsi="Times New Roman" w:cs="Times New Roman"/>
          <w:sz w:val="24"/>
          <w:szCs w:val="24"/>
        </w:rPr>
        <w:t>onsists of transactions associated with moving people and freight from one location to another and includes related supporting and auxiliary services. Transport covers all modes of transportation, including air, sea, rail, road, space, and pipeline. Postal and courier services and port services, which cover cargo handling, storage and warehousing, and other related transport services, are also included.</w:t>
      </w:r>
    </w:p>
    <w:p w14:paraId="6C0EBEFA"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bCs/>
          <w:sz w:val="24"/>
          <w:szCs w:val="24"/>
        </w:rPr>
        <w:t>Travel (for all purposes including education)</w:t>
      </w:r>
      <w:r w:rsidRPr="002F628E">
        <w:rPr>
          <w:rFonts w:ascii="Times New Roman" w:hAnsi="Times New Roman" w:cs="Times New Roman"/>
          <w:sz w:val="24"/>
          <w:szCs w:val="24"/>
        </w:rPr>
        <w:t xml:space="preserve"> - I</w:t>
      </w:r>
      <w:r w:rsidRPr="00C17602">
        <w:rPr>
          <w:rFonts w:ascii="Times New Roman" w:hAnsi="Times New Roman" w:cs="Times New Roman"/>
          <w:sz w:val="24"/>
          <w:szCs w:val="24"/>
        </w:rPr>
        <w:t xml:space="preserve">ncludes goods and services acquired by nonresidents while abroad. A traveler is defined as a person who stays, or intends to stay, for less than one year in a country of which he or she is not a resident or as a nonresident whose purpose is to obtain education or medical treatment, no matter how long the stay. Purchases can be either for own use or for gifts to others. Travel is a </w:t>
      </w:r>
      <w:proofErr w:type="spellStart"/>
      <w:r w:rsidRPr="00C17602">
        <w:rPr>
          <w:rFonts w:ascii="Times New Roman" w:hAnsi="Times New Roman" w:cs="Times New Roman"/>
          <w:sz w:val="24"/>
          <w:szCs w:val="24"/>
        </w:rPr>
        <w:t>transactor</w:t>
      </w:r>
      <w:proofErr w:type="spellEnd"/>
      <w:r w:rsidRPr="00C17602">
        <w:rPr>
          <w:rFonts w:ascii="Times New Roman" w:hAnsi="Times New Roman" w:cs="Times New Roman"/>
          <w:sz w:val="24"/>
          <w:szCs w:val="24"/>
        </w:rPr>
        <w:t xml:space="preserve">-based component that covers a variety of goods and services, primarily lodging, meals, transportation in the country of travel, amusement, entertainment, and gifts. </w:t>
      </w:r>
      <w:r>
        <w:rPr>
          <w:rFonts w:ascii="Times New Roman" w:hAnsi="Times New Roman" w:cs="Times New Roman"/>
          <w:sz w:val="24"/>
          <w:szCs w:val="24"/>
        </w:rPr>
        <w:t>Travel e</w:t>
      </w:r>
      <w:r w:rsidRPr="00C17602">
        <w:rPr>
          <w:rFonts w:ascii="Times New Roman" w:hAnsi="Times New Roman" w:cs="Times New Roman"/>
          <w:sz w:val="24"/>
          <w:szCs w:val="24"/>
        </w:rPr>
        <w:t xml:space="preserve">xcludes air passenger services for travel between countries, which are included in </w:t>
      </w:r>
      <w:r w:rsidRPr="00C17602">
        <w:rPr>
          <w:rFonts w:ascii="Times New Roman" w:hAnsi="Times New Roman" w:cs="Times New Roman"/>
          <w:i/>
          <w:sz w:val="24"/>
          <w:szCs w:val="24"/>
        </w:rPr>
        <w:t>transport</w:t>
      </w:r>
      <w:r w:rsidRPr="00C17602">
        <w:rPr>
          <w:rFonts w:ascii="Times New Roman" w:hAnsi="Times New Roman" w:cs="Times New Roman"/>
          <w:sz w:val="24"/>
          <w:szCs w:val="24"/>
        </w:rPr>
        <w:t>, and goods for resale, which are included in goods.</w:t>
      </w:r>
    </w:p>
    <w:p w14:paraId="0CC16067"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Travel includes business and personal travel. Business travel covers goods and services acquired for use by persons whose primary purpose for travel is for business (including goods and services for which business travelers are reimbursed by employers). Business travel also includes expenditures by border, seasonal, and other short-term workers in their economy of employment. Personal travel covers travel for all non-business purposes, including for medical or educational purposes.</w:t>
      </w:r>
    </w:p>
    <w:p w14:paraId="719C1254"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sz w:val="24"/>
          <w:szCs w:val="24"/>
        </w:rPr>
        <w:t>Insurance services</w:t>
      </w:r>
      <w:r w:rsidRPr="002F628E">
        <w:rPr>
          <w:rFonts w:ascii="Times New Roman" w:hAnsi="Times New Roman" w:cs="Times New Roman"/>
          <w:sz w:val="24"/>
          <w:szCs w:val="24"/>
        </w:rPr>
        <w:t xml:space="preserve"> - I</w:t>
      </w:r>
      <w:r w:rsidRPr="00C17602">
        <w:rPr>
          <w:rFonts w:ascii="Times New Roman" w:hAnsi="Times New Roman" w:cs="Times New Roman"/>
          <w:sz w:val="24"/>
          <w:szCs w:val="24"/>
        </w:rPr>
        <w:t>ncludes the direct insurance services of providing life insurance and annuities, non-life (property and casualty) insurance, reinsurance, freight insurance, and auxiliary insurance services.  Insurance is measured as gross premiums earned plus premium supplements less claims payable, with an adjustment for claims volatility. Premium supplements represent investment income from insurance reserves, which are attributed to policyholders who are treated as paying the income back to the insurer. Auxiliary insurance services include agents’ commissions, brokerage services, insurance consulting services, actuarial services, and other insurance services.</w:t>
      </w:r>
    </w:p>
    <w:p w14:paraId="0B78023A"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sz w:val="24"/>
          <w:szCs w:val="24"/>
        </w:rPr>
        <w:t>Financial services</w:t>
      </w:r>
      <w:r w:rsidRPr="002F628E">
        <w:rPr>
          <w:rFonts w:ascii="Times New Roman" w:hAnsi="Times New Roman" w:cs="Times New Roman"/>
          <w:sz w:val="24"/>
          <w:szCs w:val="24"/>
        </w:rPr>
        <w:t xml:space="preserve"> - In</w:t>
      </w:r>
      <w:r w:rsidRPr="00C17602">
        <w:rPr>
          <w:rFonts w:ascii="Times New Roman" w:hAnsi="Times New Roman" w:cs="Times New Roman"/>
          <w:sz w:val="24"/>
          <w:szCs w:val="24"/>
        </w:rPr>
        <w:t xml:space="preserve">cludes financial intermediary and auxiliary services, except insurance services. These services include those normally provided by banks and other financial institutions. Services primarily include those for which an explicit commission or a fee is charged; implicit fees for bond transactions, measured as the difference between bid and ask prices, are also included. Services include securities </w:t>
      </w:r>
      <w:r w:rsidRPr="00C17602">
        <w:rPr>
          <w:rFonts w:ascii="Times New Roman" w:hAnsi="Times New Roman" w:cs="Times New Roman"/>
          <w:sz w:val="24"/>
          <w:szCs w:val="24"/>
        </w:rPr>
        <w:lastRenderedPageBreak/>
        <w:t>brokerage and underwriting, financial management, financial advisory, and custody services; credit and other credit-related services; and securities lending, electronic funds transfer, and other services.</w:t>
      </w:r>
    </w:p>
    <w:p w14:paraId="15FA1927"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bCs/>
          <w:sz w:val="24"/>
          <w:szCs w:val="24"/>
        </w:rPr>
        <w:t xml:space="preserve">Charges for the use of intellectual property </w:t>
      </w:r>
      <w:proofErr w:type="spellStart"/>
      <w:r w:rsidRPr="00C17602">
        <w:rPr>
          <w:rFonts w:ascii="Times New Roman" w:hAnsi="Times New Roman" w:cs="Times New Roman"/>
          <w:b/>
          <w:bCs/>
          <w:sz w:val="24"/>
          <w:szCs w:val="24"/>
        </w:rPr>
        <w:t>n.i.e</w:t>
      </w:r>
      <w:proofErr w:type="spellEnd"/>
      <w:r w:rsidRPr="00C17602">
        <w:rPr>
          <w:rFonts w:ascii="Times New Roman" w:hAnsi="Times New Roman" w:cs="Times New Roman"/>
          <w:b/>
          <w:bCs/>
          <w:sz w:val="24"/>
          <w:szCs w:val="24"/>
        </w:rPr>
        <w:t>.</w:t>
      </w:r>
      <w:r w:rsidRPr="002F628E">
        <w:rPr>
          <w:rFonts w:ascii="Times New Roman" w:hAnsi="Times New Roman" w:cs="Times New Roman"/>
          <w:sz w:val="24"/>
          <w:szCs w:val="24"/>
        </w:rPr>
        <w:t xml:space="preserve"> - I</w:t>
      </w:r>
      <w:r w:rsidRPr="00C17602">
        <w:rPr>
          <w:rFonts w:ascii="Times New Roman" w:hAnsi="Times New Roman" w:cs="Times New Roman"/>
          <w:bCs/>
          <w:sz w:val="24"/>
          <w:szCs w:val="24"/>
        </w:rPr>
        <w:t>ncludes charges for the use of proprietary rights, such as patents, trademarks, and copyrights, and charges for licenses to use, reproduce, distribute, and sell or purchase intellectual property</w:t>
      </w:r>
      <w:r w:rsidRPr="00C17602">
        <w:rPr>
          <w:rFonts w:ascii="Times New Roman" w:hAnsi="Times New Roman" w:cs="Times New Roman"/>
          <w:b/>
          <w:bCs/>
          <w:sz w:val="24"/>
          <w:szCs w:val="24"/>
        </w:rPr>
        <w:t>.</w:t>
      </w:r>
    </w:p>
    <w:p w14:paraId="36A3BBD8" w14:textId="77777777" w:rsidR="001705DB" w:rsidRPr="00C17602" w:rsidRDefault="001705DB" w:rsidP="001705DB">
      <w:pPr>
        <w:spacing w:after="120"/>
        <w:ind w:left="-360"/>
        <w:rPr>
          <w:rFonts w:ascii="Times New Roman" w:hAnsi="Times New Roman" w:cs="Times New Roman"/>
          <w:sz w:val="24"/>
          <w:szCs w:val="24"/>
        </w:rPr>
      </w:pPr>
      <w:r>
        <w:rPr>
          <w:rFonts w:ascii="Times New Roman" w:hAnsi="Times New Roman" w:cs="Times New Roman"/>
          <w:b/>
          <w:sz w:val="24"/>
          <w:szCs w:val="24"/>
        </w:rPr>
        <w:t xml:space="preserve">Telecommunications, </w:t>
      </w:r>
      <w:r w:rsidRPr="00C17602">
        <w:rPr>
          <w:rFonts w:ascii="Times New Roman" w:hAnsi="Times New Roman" w:cs="Times New Roman"/>
          <w:b/>
          <w:sz w:val="24"/>
          <w:szCs w:val="24"/>
        </w:rPr>
        <w:t>computer, and information services</w:t>
      </w:r>
      <w:r w:rsidRPr="002F628E">
        <w:rPr>
          <w:rFonts w:ascii="Times New Roman" w:hAnsi="Times New Roman" w:cs="Times New Roman"/>
          <w:sz w:val="24"/>
          <w:szCs w:val="24"/>
        </w:rPr>
        <w:t xml:space="preserve"> - Te</w:t>
      </w:r>
      <w:r w:rsidRPr="00C17602">
        <w:rPr>
          <w:rFonts w:ascii="Times New Roman" w:hAnsi="Times New Roman" w:cs="Times New Roman"/>
          <w:sz w:val="24"/>
          <w:szCs w:val="24"/>
        </w:rPr>
        <w:t>lecommunications services include the broadcast or transmission of sound, images, data, or other information by electronic means. These services do not include the value of the information transmitted. Computer services consist of hardware- and software-related services and data processing services. Sales of customized software and related use licenses, as well as licenses to use non-customized software with a periodic license fee, are also included, as is software downloaded or otherwise electronically delivered. Cross-border transactions in non-customized packaged software with a license for perpetual use are included in goods. Information services include news agency services, database services, and web search portals.</w:t>
      </w:r>
    </w:p>
    <w:p w14:paraId="426A1CAB"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sz w:val="24"/>
          <w:szCs w:val="24"/>
        </w:rPr>
        <w:t>Other business services</w:t>
      </w:r>
      <w:r w:rsidRPr="002F628E">
        <w:rPr>
          <w:rFonts w:ascii="Times New Roman" w:hAnsi="Times New Roman" w:cs="Times New Roman"/>
          <w:sz w:val="24"/>
          <w:szCs w:val="24"/>
        </w:rPr>
        <w:t xml:space="preserve"> - C</w:t>
      </w:r>
      <w:r w:rsidRPr="00C17602">
        <w:rPr>
          <w:rFonts w:ascii="Times New Roman" w:hAnsi="Times New Roman" w:cs="Times New Roman"/>
          <w:sz w:val="24"/>
          <w:szCs w:val="24"/>
        </w:rPr>
        <w:t>onsists of research and development services, professional and management consulting services, and technical, trade-related, and other business services. Research and development services include services associated with basic and applied research and experimental development of new products and processes. Professional and management consulting services include legal services, accounting, management consulting, managerial services, public relations services, advertising, and market research. Amounts received by a parent company from its affiliates for general overhead expenses related to these services are included. Technical, trade-related, and other business services include architectural and engineering, construction, audio-visual, waste treatment, operational leasing, trade-related, and other business services.</w:t>
      </w:r>
    </w:p>
    <w:p w14:paraId="7BDAA5BB" w14:textId="77777777" w:rsidR="001705DB" w:rsidRPr="00C17602" w:rsidRDefault="001705DB" w:rsidP="001705DB">
      <w:pPr>
        <w:spacing w:after="120"/>
        <w:ind w:left="-360"/>
        <w:rPr>
          <w:rFonts w:ascii="Times New Roman" w:hAnsi="Times New Roman" w:cs="Times New Roman"/>
          <w:b/>
          <w:bCs/>
          <w:sz w:val="24"/>
          <w:szCs w:val="24"/>
        </w:rPr>
      </w:pPr>
      <w:r w:rsidRPr="00C17602">
        <w:rPr>
          <w:rFonts w:ascii="Times New Roman" w:hAnsi="Times New Roman" w:cs="Times New Roman"/>
          <w:b/>
          <w:bCs/>
          <w:sz w:val="24"/>
          <w:szCs w:val="24"/>
        </w:rPr>
        <w:t xml:space="preserve">Government goods and services </w:t>
      </w:r>
      <w:proofErr w:type="spellStart"/>
      <w:r w:rsidRPr="00C17602">
        <w:rPr>
          <w:rFonts w:ascii="Times New Roman" w:hAnsi="Times New Roman" w:cs="Times New Roman"/>
          <w:b/>
          <w:bCs/>
          <w:sz w:val="24"/>
          <w:szCs w:val="24"/>
        </w:rPr>
        <w:t>n.i.e</w:t>
      </w:r>
      <w:proofErr w:type="spellEnd"/>
      <w:r w:rsidRPr="00C17602">
        <w:rPr>
          <w:rFonts w:ascii="Times New Roman" w:hAnsi="Times New Roman" w:cs="Times New Roman"/>
          <w:b/>
          <w:bCs/>
          <w:sz w:val="24"/>
          <w:szCs w:val="24"/>
        </w:rPr>
        <w:t>.</w:t>
      </w:r>
      <w:r w:rsidRPr="002F628E">
        <w:rPr>
          <w:rFonts w:ascii="Times New Roman" w:hAnsi="Times New Roman" w:cs="Times New Roman"/>
          <w:bCs/>
          <w:sz w:val="24"/>
          <w:szCs w:val="24"/>
        </w:rPr>
        <w:t xml:space="preserve"> - I</w:t>
      </w:r>
      <w:r w:rsidRPr="00C17602">
        <w:rPr>
          <w:rFonts w:ascii="Times New Roman" w:hAnsi="Times New Roman" w:cs="Times New Roman"/>
          <w:bCs/>
          <w:sz w:val="24"/>
          <w:szCs w:val="24"/>
        </w:rPr>
        <w:t>ncludes goods and services supplied by and to enclaves, such as embassies, military bases, and international organizations; goods and services acquired from the host economy by diplomats, consular staff, and military personnel located abroad and their dependents; and services supplied by and to governments that are not included in other services categories. Services supplied by and to governments are classified to specific services categories when source data permit.</w:t>
      </w:r>
    </w:p>
    <w:p w14:paraId="0E15006E" w14:textId="77777777" w:rsidR="001705DB" w:rsidRPr="00F1113D" w:rsidRDefault="001705DB" w:rsidP="001705DB">
      <w:pPr>
        <w:spacing w:after="0"/>
        <w:ind w:left="-360"/>
        <w:rPr>
          <w:rFonts w:ascii="Arial" w:hAnsi="Arial" w:cs="Arial"/>
          <w:sz w:val="24"/>
          <w:szCs w:val="24"/>
        </w:rPr>
      </w:pPr>
      <w:r w:rsidRPr="00F1113D">
        <w:rPr>
          <w:rFonts w:ascii="Arial" w:hAnsi="Arial" w:cs="Arial"/>
          <w:b/>
          <w:bCs/>
          <w:i/>
          <w:sz w:val="24"/>
          <w:szCs w:val="24"/>
        </w:rPr>
        <w:t>G</w:t>
      </w:r>
      <w:r>
        <w:rPr>
          <w:rFonts w:ascii="Arial" w:hAnsi="Arial" w:cs="Arial"/>
          <w:b/>
          <w:bCs/>
          <w:i/>
          <w:sz w:val="24"/>
          <w:szCs w:val="24"/>
        </w:rPr>
        <w:t>oods</w:t>
      </w:r>
      <w:r w:rsidRPr="00F1113D">
        <w:rPr>
          <w:rFonts w:ascii="Arial" w:hAnsi="Arial" w:cs="Arial"/>
          <w:b/>
          <w:bCs/>
          <w:i/>
          <w:sz w:val="24"/>
          <w:szCs w:val="24"/>
        </w:rPr>
        <w:t xml:space="preserve"> (BOP B</w:t>
      </w:r>
      <w:r>
        <w:rPr>
          <w:rFonts w:ascii="Arial" w:hAnsi="Arial" w:cs="Arial"/>
          <w:b/>
          <w:bCs/>
          <w:i/>
          <w:sz w:val="24"/>
          <w:szCs w:val="24"/>
        </w:rPr>
        <w:t>asis</w:t>
      </w:r>
      <w:r w:rsidRPr="00F1113D">
        <w:rPr>
          <w:rFonts w:ascii="Arial" w:hAnsi="Arial" w:cs="Arial"/>
          <w:b/>
          <w:bCs/>
          <w:i/>
          <w:sz w:val="24"/>
          <w:szCs w:val="24"/>
        </w:rPr>
        <w:t xml:space="preserve">) </w:t>
      </w:r>
      <w:r>
        <w:rPr>
          <w:rFonts w:ascii="Arial" w:hAnsi="Arial" w:cs="Arial"/>
          <w:b/>
          <w:bCs/>
          <w:i/>
          <w:sz w:val="24"/>
          <w:szCs w:val="24"/>
        </w:rPr>
        <w:t>and Services</w:t>
      </w:r>
      <w:r w:rsidRPr="00F1113D">
        <w:rPr>
          <w:rFonts w:ascii="Arial" w:hAnsi="Arial" w:cs="Arial"/>
          <w:b/>
          <w:bCs/>
          <w:i/>
          <w:sz w:val="24"/>
          <w:szCs w:val="24"/>
        </w:rPr>
        <w:t xml:space="preserve"> </w:t>
      </w:r>
      <w:r>
        <w:rPr>
          <w:rFonts w:ascii="Arial" w:hAnsi="Arial" w:cs="Arial"/>
          <w:b/>
          <w:bCs/>
          <w:i/>
          <w:sz w:val="24"/>
          <w:szCs w:val="24"/>
        </w:rPr>
        <w:t>by</w:t>
      </w:r>
      <w:r w:rsidRPr="00F1113D">
        <w:rPr>
          <w:rFonts w:ascii="Arial" w:hAnsi="Arial" w:cs="Arial"/>
          <w:b/>
          <w:bCs/>
          <w:i/>
          <w:sz w:val="24"/>
          <w:szCs w:val="24"/>
        </w:rPr>
        <w:t xml:space="preserve"> </w:t>
      </w:r>
      <w:r>
        <w:rPr>
          <w:rFonts w:ascii="Arial" w:hAnsi="Arial" w:cs="Arial"/>
          <w:b/>
          <w:bCs/>
          <w:i/>
          <w:sz w:val="24"/>
          <w:szCs w:val="24"/>
        </w:rPr>
        <w:t>Country and Area</w:t>
      </w:r>
    </w:p>
    <w:p w14:paraId="56BE3B6D"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 xml:space="preserve">Monthly country and area detail is not available for goods on a BOP basis or for services. However, quarterly statistics on goods on a BOP basis and on services that are seasonally adjusted by geography are shown in Exhibit 20. Unlike the seasonal adjustments by commodity and by service type that are applied to the global totals, these adjustments are developed and applied directly at the country and world area levels. For total exports and imports, data users should refer to the by-commodity and by-service type totals shown </w:t>
      </w:r>
      <w:r w:rsidRPr="00C17602">
        <w:rPr>
          <w:rFonts w:ascii="Times New Roman" w:hAnsi="Times New Roman" w:cs="Times New Roman"/>
          <w:sz w:val="24"/>
          <w:szCs w:val="24"/>
        </w:rPr>
        <w:lastRenderedPageBreak/>
        <w:t>in the other exhibits. The seasonally adjusted country and world area data will not sum to the seasonally adjusted by-commodity and by-service type totals because the two sets of statistics are derived from different aggregations of the export and import data and from different seasonal adjustment models. Data users should use caution drawing comparisons between the two sets of seasonally adjusted series.</w:t>
      </w:r>
    </w:p>
    <w:p w14:paraId="5AFA98AA"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 xml:space="preserve">The definitions of the world areas shown in Exhibit 20 are consistent with the definitions for goods on a Census basis (see </w:t>
      </w:r>
      <w:r w:rsidRPr="00C17602">
        <w:rPr>
          <w:rFonts w:ascii="Times New Roman" w:hAnsi="Times New Roman" w:cs="Times New Roman"/>
          <w:i/>
          <w:sz w:val="24"/>
          <w:szCs w:val="24"/>
        </w:rPr>
        <w:t xml:space="preserve">AREA GROUPINGS </w:t>
      </w:r>
      <w:r w:rsidRPr="00C17602">
        <w:rPr>
          <w:rFonts w:ascii="Times New Roman" w:hAnsi="Times New Roman" w:cs="Times New Roman"/>
          <w:sz w:val="24"/>
          <w:szCs w:val="24"/>
        </w:rPr>
        <w:t>above) with a few exceptions. For services, CAFTA-DR is not available because trade with this area’s member countries cannot be separately identified. For goods on a BOP basis and for services, European Union and OPEC reflect the composition of the areas at the time of reporting.</w:t>
      </w:r>
    </w:p>
    <w:p w14:paraId="5ABFAA51" w14:textId="77777777" w:rsidR="001705DB" w:rsidRPr="00F1113D" w:rsidRDefault="001705DB" w:rsidP="001705DB">
      <w:pPr>
        <w:spacing w:after="0"/>
        <w:ind w:left="-360"/>
        <w:rPr>
          <w:rFonts w:ascii="Arial" w:hAnsi="Arial" w:cs="Arial"/>
          <w:b/>
          <w:bCs/>
          <w:i/>
          <w:sz w:val="24"/>
          <w:szCs w:val="24"/>
        </w:rPr>
      </w:pPr>
      <w:r w:rsidRPr="00F1113D">
        <w:rPr>
          <w:rFonts w:ascii="Arial" w:hAnsi="Arial" w:cs="Arial"/>
          <w:b/>
          <w:bCs/>
          <w:i/>
          <w:sz w:val="24"/>
          <w:szCs w:val="24"/>
        </w:rPr>
        <w:t>R</w:t>
      </w:r>
      <w:r>
        <w:rPr>
          <w:rFonts w:ascii="Arial" w:hAnsi="Arial" w:cs="Arial"/>
          <w:b/>
          <w:bCs/>
          <w:i/>
          <w:sz w:val="24"/>
          <w:szCs w:val="24"/>
        </w:rPr>
        <w:t xml:space="preserve">evision </w:t>
      </w:r>
      <w:r w:rsidRPr="00F1113D">
        <w:rPr>
          <w:rFonts w:ascii="Arial" w:hAnsi="Arial" w:cs="Arial"/>
          <w:b/>
          <w:bCs/>
          <w:i/>
          <w:sz w:val="24"/>
          <w:szCs w:val="24"/>
        </w:rPr>
        <w:t>P</w:t>
      </w:r>
      <w:r>
        <w:rPr>
          <w:rFonts w:ascii="Arial" w:hAnsi="Arial" w:cs="Arial"/>
          <w:b/>
          <w:bCs/>
          <w:i/>
          <w:sz w:val="24"/>
          <w:szCs w:val="24"/>
        </w:rPr>
        <w:t>rocedure</w:t>
      </w:r>
      <w:r w:rsidRPr="00F1113D">
        <w:rPr>
          <w:rFonts w:ascii="Arial" w:hAnsi="Arial" w:cs="Arial"/>
          <w:b/>
          <w:bCs/>
          <w:i/>
          <w:sz w:val="24"/>
          <w:szCs w:val="24"/>
        </w:rPr>
        <w:t xml:space="preserve"> (G</w:t>
      </w:r>
      <w:r>
        <w:rPr>
          <w:rFonts w:ascii="Arial" w:hAnsi="Arial" w:cs="Arial"/>
          <w:b/>
          <w:bCs/>
          <w:i/>
          <w:sz w:val="24"/>
          <w:szCs w:val="24"/>
        </w:rPr>
        <w:t>oods</w:t>
      </w:r>
      <w:r w:rsidRPr="00F1113D">
        <w:rPr>
          <w:rFonts w:ascii="Arial" w:hAnsi="Arial" w:cs="Arial"/>
          <w:b/>
          <w:bCs/>
          <w:i/>
          <w:sz w:val="24"/>
          <w:szCs w:val="24"/>
        </w:rPr>
        <w:t xml:space="preserve"> </w:t>
      </w:r>
      <w:r>
        <w:rPr>
          <w:rFonts w:ascii="Arial" w:hAnsi="Arial" w:cs="Arial"/>
          <w:b/>
          <w:bCs/>
          <w:i/>
          <w:sz w:val="24"/>
          <w:szCs w:val="24"/>
        </w:rPr>
        <w:t>on a</w:t>
      </w:r>
      <w:r w:rsidRPr="00F1113D">
        <w:rPr>
          <w:rFonts w:ascii="Arial" w:hAnsi="Arial" w:cs="Arial"/>
          <w:b/>
          <w:bCs/>
          <w:i/>
          <w:sz w:val="24"/>
          <w:szCs w:val="24"/>
        </w:rPr>
        <w:t xml:space="preserve"> BOP B</w:t>
      </w:r>
      <w:r>
        <w:rPr>
          <w:rFonts w:ascii="Arial" w:hAnsi="Arial" w:cs="Arial"/>
          <w:b/>
          <w:bCs/>
          <w:i/>
          <w:sz w:val="24"/>
          <w:szCs w:val="24"/>
        </w:rPr>
        <w:t>asis and Services)</w:t>
      </w:r>
    </w:p>
    <w:p w14:paraId="05F5C93C"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bCs/>
          <w:sz w:val="24"/>
          <w:szCs w:val="24"/>
        </w:rPr>
        <w:t>Monthly Revisions</w:t>
      </w:r>
      <w:r w:rsidRPr="001172C9">
        <w:rPr>
          <w:rFonts w:ascii="Times New Roman" w:hAnsi="Times New Roman" w:cs="Times New Roman"/>
          <w:bCs/>
          <w:sz w:val="24"/>
          <w:szCs w:val="24"/>
        </w:rPr>
        <w:t>:</w:t>
      </w:r>
      <w:r w:rsidRPr="00DE1D40">
        <w:rPr>
          <w:rFonts w:ascii="Times New Roman" w:hAnsi="Times New Roman" w:cs="Times New Roman"/>
          <w:sz w:val="24"/>
          <w:szCs w:val="24"/>
        </w:rPr>
        <w:t xml:space="preserve"> </w:t>
      </w:r>
      <w:r w:rsidRPr="00C17602">
        <w:rPr>
          <w:rFonts w:ascii="Times New Roman" w:hAnsi="Times New Roman" w:cs="Times New Roman"/>
          <w:sz w:val="24"/>
          <w:szCs w:val="24"/>
        </w:rPr>
        <w:t>Each month, a preliminary estimate for the current month and a revised estimate for the immediately preceding month are released. After the initial revision, no further revisions are made to a month until more complete source data become available in March, June, September, and December.</w:t>
      </w:r>
    </w:p>
    <w:p w14:paraId="4135B42D"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sz w:val="24"/>
          <w:szCs w:val="24"/>
        </w:rPr>
        <w:t>Quarterly Revisions</w:t>
      </w:r>
      <w:r w:rsidRPr="00DE1D40">
        <w:rPr>
          <w:rFonts w:ascii="Times New Roman" w:hAnsi="Times New Roman" w:cs="Times New Roman"/>
          <w:sz w:val="24"/>
          <w:szCs w:val="24"/>
        </w:rPr>
        <w:t xml:space="preserve">: </w:t>
      </w:r>
      <w:r w:rsidRPr="00C17602">
        <w:rPr>
          <w:rFonts w:ascii="Times New Roman" w:hAnsi="Times New Roman" w:cs="Times New Roman"/>
          <w:sz w:val="24"/>
          <w:szCs w:val="24"/>
        </w:rPr>
        <w:t>The releases in March, June, September, and December contain revised estimates for the previous six months to incorporate more comprehensive and updated source data.</w:t>
      </w:r>
    </w:p>
    <w:p w14:paraId="444DF0B9" w14:textId="77777777" w:rsidR="001705DB" w:rsidRPr="00C17602"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sz w:val="24"/>
          <w:szCs w:val="24"/>
        </w:rPr>
        <w:t>Annual Revisions</w:t>
      </w:r>
      <w:r w:rsidRPr="00C17602">
        <w:rPr>
          <w:rFonts w:ascii="Times New Roman" w:hAnsi="Times New Roman" w:cs="Times New Roman"/>
          <w:sz w:val="24"/>
          <w:szCs w:val="24"/>
        </w:rPr>
        <w:t>: Each June, historical data are revised to incorporate newly available and revised source data, changes in definitions and classifications, and changes in estimation methods. Seasonally adjusted data are also revised to reflect recalculated seasonal and trading-day adjustments.</w:t>
      </w:r>
    </w:p>
    <w:p w14:paraId="7D18C2E5" w14:textId="77777777" w:rsidR="001705DB"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b/>
          <w:sz w:val="24"/>
          <w:szCs w:val="24"/>
        </w:rPr>
        <w:t>Other Revisions</w:t>
      </w:r>
      <w:r w:rsidRPr="00C17602">
        <w:rPr>
          <w:rFonts w:ascii="Times New Roman" w:hAnsi="Times New Roman" w:cs="Times New Roman"/>
          <w:sz w:val="24"/>
          <w:szCs w:val="24"/>
        </w:rPr>
        <w:t xml:space="preserve">: The release in </w:t>
      </w:r>
      <w:r>
        <w:rPr>
          <w:rFonts w:ascii="Times New Roman" w:hAnsi="Times New Roman" w:cs="Times New Roman"/>
          <w:sz w:val="24"/>
          <w:szCs w:val="24"/>
        </w:rPr>
        <w:t>February</w:t>
      </w:r>
      <w:r w:rsidRPr="00C17602">
        <w:rPr>
          <w:rFonts w:ascii="Times New Roman" w:hAnsi="Times New Roman" w:cs="Times New Roman"/>
          <w:sz w:val="24"/>
          <w:szCs w:val="24"/>
        </w:rPr>
        <w:t xml:space="preserve"> contains revisions to goods for January through November of the most recent year</w:t>
      </w:r>
      <w:r>
        <w:rPr>
          <w:rFonts w:ascii="Times New Roman" w:hAnsi="Times New Roman" w:cs="Times New Roman"/>
          <w:sz w:val="24"/>
          <w:szCs w:val="24"/>
        </w:rPr>
        <w:t>;</w:t>
      </w:r>
      <w:r w:rsidRPr="00C17602">
        <w:rPr>
          <w:rFonts w:ascii="Times New Roman" w:hAnsi="Times New Roman" w:cs="Times New Roman"/>
          <w:sz w:val="24"/>
          <w:szCs w:val="24"/>
        </w:rPr>
        <w:t xml:space="preserve"> the release in March contains revisions to both goods and services for all months of the most recent year. These revisions result from forcing the seasonally adjusted months to equal the annual totals.</w:t>
      </w:r>
    </w:p>
    <w:p w14:paraId="39F9B54A" w14:textId="77777777" w:rsidR="001705DB" w:rsidRPr="001C38C3" w:rsidRDefault="001705DB" w:rsidP="001705DB">
      <w:pPr>
        <w:spacing w:after="0"/>
        <w:ind w:left="-360"/>
        <w:rPr>
          <w:rFonts w:ascii="Arial" w:hAnsi="Arial" w:cs="Arial"/>
          <w:b/>
          <w:sz w:val="24"/>
          <w:szCs w:val="24"/>
        </w:rPr>
      </w:pPr>
      <w:r>
        <w:rPr>
          <w:rFonts w:ascii="Arial" w:hAnsi="Arial" w:cs="Arial"/>
          <w:b/>
          <w:sz w:val="24"/>
          <w:szCs w:val="24"/>
        </w:rPr>
        <w:t>Data Availability</w:t>
      </w:r>
    </w:p>
    <w:p w14:paraId="3BACB984" w14:textId="7AE26B14" w:rsidR="001705DB" w:rsidRPr="00415EAA" w:rsidRDefault="001705DB" w:rsidP="001705DB">
      <w:pPr>
        <w:spacing w:after="120"/>
        <w:ind w:left="-360"/>
        <w:rPr>
          <w:rFonts w:ascii="Times New Roman" w:hAnsi="Times New Roman" w:cs="Times New Roman"/>
          <w:sz w:val="24"/>
          <w:szCs w:val="24"/>
        </w:rPr>
      </w:pPr>
      <w:r w:rsidRPr="00C17602">
        <w:rPr>
          <w:rFonts w:ascii="Times New Roman" w:hAnsi="Times New Roman" w:cs="Times New Roman"/>
          <w:sz w:val="24"/>
          <w:szCs w:val="24"/>
        </w:rPr>
        <w:t xml:space="preserve">The U.S. International Trade in Goods and Services news release (FT-900) and the FT-900 Supplement </w:t>
      </w:r>
      <w:r>
        <w:rPr>
          <w:rFonts w:ascii="Times New Roman" w:hAnsi="Times New Roman" w:cs="Times New Roman"/>
          <w:sz w:val="24"/>
          <w:szCs w:val="24"/>
        </w:rPr>
        <w:t>are available at</w:t>
      </w:r>
      <w:r w:rsidRPr="00B60655">
        <w:rPr>
          <w:rFonts w:ascii="Times New Roman" w:hAnsi="Times New Roman" w:cs="Times New Roman"/>
          <w:sz w:val="24"/>
          <w:szCs w:val="24"/>
        </w:rPr>
        <w:t xml:space="preserve"> </w:t>
      </w:r>
      <w:hyperlink r:id="rId33" w:history="1">
        <w:r w:rsidRPr="00C17602">
          <w:rPr>
            <w:rStyle w:val="Hyperlink"/>
            <w:rFonts w:ascii="Times New Roman" w:hAnsi="Times New Roman" w:cs="Times New Roman"/>
            <w:sz w:val="24"/>
            <w:szCs w:val="24"/>
          </w:rPr>
          <w:t>www.census.gov/ft900</w:t>
        </w:r>
      </w:hyperlink>
      <w:r>
        <w:rPr>
          <w:rFonts w:ascii="Times New Roman" w:hAnsi="Times New Roman" w:cs="Times New Roman"/>
          <w:sz w:val="24"/>
          <w:szCs w:val="24"/>
        </w:rPr>
        <w:t xml:space="preserve"> or </w:t>
      </w:r>
      <w:hyperlink r:id="rId34" w:history="1">
        <w:r w:rsidRPr="00C17602">
          <w:rPr>
            <w:rStyle w:val="Hyperlink"/>
            <w:rFonts w:ascii="Times New Roman" w:hAnsi="Times New Roman" w:cs="Times New Roman"/>
            <w:sz w:val="24"/>
            <w:szCs w:val="24"/>
          </w:rPr>
          <w:t>www.bea.gov/newsreleases/international/trade/tradnewsrelease.htm</w:t>
        </w:r>
      </w:hyperlink>
      <w:r>
        <w:rPr>
          <w:rFonts w:ascii="Times New Roman" w:hAnsi="Times New Roman" w:cs="Times New Roman"/>
          <w:sz w:val="24"/>
          <w:szCs w:val="24"/>
        </w:rPr>
        <w:t>.</w:t>
      </w:r>
    </w:p>
    <w:p w14:paraId="368A03BD" w14:textId="65834F6D" w:rsidR="00713F17" w:rsidRPr="00713F17" w:rsidRDefault="00713F17" w:rsidP="00713F17">
      <w:pPr>
        <w:spacing w:after="0"/>
        <w:ind w:left="-360"/>
        <w:rPr>
          <w:rFonts w:ascii="Arial" w:hAnsi="Arial" w:cs="Arial"/>
          <w:b/>
          <w:bCs/>
          <w:i/>
          <w:iCs/>
          <w:sz w:val="24"/>
          <w:szCs w:val="24"/>
        </w:rPr>
      </w:pPr>
      <w:r w:rsidRPr="00713F17">
        <w:rPr>
          <w:rFonts w:ascii="Arial" w:hAnsi="Arial" w:cs="Arial"/>
          <w:b/>
          <w:bCs/>
          <w:i/>
          <w:iCs/>
          <w:sz w:val="24"/>
          <w:szCs w:val="24"/>
        </w:rPr>
        <w:t>Resources</w:t>
      </w:r>
    </w:p>
    <w:p w14:paraId="6C55CA6D" w14:textId="5B32C930" w:rsidR="001705DB" w:rsidRDefault="001705DB" w:rsidP="001705DB">
      <w:pPr>
        <w:spacing w:after="120"/>
        <w:ind w:left="-360"/>
        <w:rPr>
          <w:rFonts w:ascii="Times New Roman" w:hAnsi="Times New Roman" w:cs="Times New Roman"/>
          <w:sz w:val="24"/>
          <w:szCs w:val="24"/>
        </w:rPr>
      </w:pPr>
      <w:r w:rsidRPr="00FF2315">
        <w:rPr>
          <w:rFonts w:ascii="Times New Roman" w:hAnsi="Times New Roman" w:cs="Times New Roman"/>
          <w:b/>
          <w:sz w:val="24"/>
          <w:szCs w:val="24"/>
        </w:rPr>
        <w:t>Census Bureau’s Application Programming Interface (</w:t>
      </w:r>
      <w:r w:rsidRPr="00FE0307">
        <w:rPr>
          <w:rFonts w:ascii="Times New Roman" w:hAnsi="Times New Roman" w:cs="Times New Roman"/>
          <w:b/>
          <w:sz w:val="24"/>
          <w:szCs w:val="24"/>
        </w:rPr>
        <w:t>API)</w:t>
      </w:r>
      <w:r>
        <w:rPr>
          <w:rFonts w:ascii="Times New Roman" w:hAnsi="Times New Roman" w:cs="Times New Roman"/>
          <w:sz w:val="24"/>
          <w:szCs w:val="24"/>
        </w:rPr>
        <w:t xml:space="preserve">: </w:t>
      </w:r>
      <w:r w:rsidRPr="005B61C2">
        <w:rPr>
          <w:rFonts w:ascii="Times New Roman" w:hAnsi="Times New Roman" w:cs="Times New Roman"/>
          <w:sz w:val="24"/>
          <w:szCs w:val="24"/>
        </w:rPr>
        <w:t xml:space="preserve">The Census </w:t>
      </w:r>
      <w:r w:rsidRPr="003E238D">
        <w:rPr>
          <w:rFonts w:ascii="Times New Roman" w:hAnsi="Times New Roman" w:cs="Times New Roman"/>
          <w:sz w:val="24"/>
          <w:szCs w:val="24"/>
        </w:rPr>
        <w:t>Bureau’s</w:t>
      </w:r>
      <w:r>
        <w:rPr>
          <w:rFonts w:ascii="Times New Roman" w:hAnsi="Times New Roman" w:cs="Times New Roman"/>
          <w:b/>
          <w:sz w:val="24"/>
          <w:szCs w:val="24"/>
        </w:rPr>
        <w:t xml:space="preserve"> </w:t>
      </w:r>
      <w:r>
        <w:rPr>
          <w:rFonts w:ascii="Times New Roman" w:hAnsi="Times New Roman" w:cs="Times New Roman"/>
          <w:sz w:val="24"/>
          <w:szCs w:val="24"/>
        </w:rPr>
        <w:t xml:space="preserve">API, available at </w:t>
      </w:r>
      <w:hyperlink r:id="rId35" w:history="1">
        <w:r w:rsidRPr="00E53A3F">
          <w:rPr>
            <w:rStyle w:val="Hyperlink"/>
            <w:rFonts w:ascii="Times New Roman" w:hAnsi="Times New Roman" w:cs="Times New Roman"/>
            <w:sz w:val="24"/>
            <w:szCs w:val="24"/>
          </w:rPr>
          <w:t>www.census.gov/developers/</w:t>
        </w:r>
      </w:hyperlink>
      <w:r>
        <w:rPr>
          <w:rFonts w:ascii="Times New Roman" w:hAnsi="Times New Roman" w:cs="Times New Roman"/>
          <w:sz w:val="24"/>
          <w:szCs w:val="24"/>
        </w:rPr>
        <w:t xml:space="preserve">, </w:t>
      </w:r>
      <w:r w:rsidRPr="005B61C2">
        <w:rPr>
          <w:rFonts w:ascii="Times New Roman" w:hAnsi="Times New Roman" w:cs="Times New Roman"/>
          <w:sz w:val="24"/>
          <w:szCs w:val="24"/>
        </w:rPr>
        <w:t>lets developers create custom apps to reach new users and makes key demographic, socio-economic</w:t>
      </w:r>
      <w:r>
        <w:rPr>
          <w:rFonts w:ascii="Times New Roman" w:hAnsi="Times New Roman" w:cs="Times New Roman"/>
          <w:sz w:val="24"/>
          <w:szCs w:val="24"/>
        </w:rPr>
        <w:t>,</w:t>
      </w:r>
      <w:r w:rsidRPr="005B61C2">
        <w:rPr>
          <w:rFonts w:ascii="Times New Roman" w:hAnsi="Times New Roman" w:cs="Times New Roman"/>
          <w:sz w:val="24"/>
          <w:szCs w:val="24"/>
        </w:rPr>
        <w:t xml:space="preserve"> and housing statistics more accessible than ever before.</w:t>
      </w:r>
    </w:p>
    <w:p w14:paraId="70CD33FA" w14:textId="465D1812" w:rsidR="001705DB" w:rsidRDefault="001705DB" w:rsidP="001705DB">
      <w:pPr>
        <w:spacing w:after="0"/>
        <w:ind w:left="-360"/>
        <w:rPr>
          <w:rFonts w:ascii="Times New Roman" w:hAnsi="Times New Roman" w:cs="Times New Roman"/>
          <w:sz w:val="24"/>
          <w:szCs w:val="24"/>
        </w:rPr>
      </w:pPr>
      <w:r w:rsidRPr="00FF2315">
        <w:rPr>
          <w:rFonts w:ascii="Times New Roman" w:hAnsi="Times New Roman" w:cs="Times New Roman"/>
          <w:b/>
          <w:sz w:val="24"/>
          <w:szCs w:val="24"/>
        </w:rPr>
        <w:t>BEA’s Data API</w:t>
      </w:r>
      <w:r>
        <w:rPr>
          <w:rFonts w:ascii="Times New Roman" w:hAnsi="Times New Roman" w:cs="Times New Roman"/>
          <w:sz w:val="24"/>
          <w:szCs w:val="24"/>
        </w:rPr>
        <w:t xml:space="preserve">: BEA’s data API, available at </w:t>
      </w:r>
      <w:hyperlink r:id="rId36" w:history="1">
        <w:r w:rsidRPr="00FE0307">
          <w:rPr>
            <w:rStyle w:val="Hyperlink"/>
            <w:rFonts w:ascii="Times New Roman" w:hAnsi="Times New Roman" w:cs="Times New Roman"/>
            <w:sz w:val="24"/>
            <w:szCs w:val="24"/>
          </w:rPr>
          <w:t>www.bea.gov/API/signup/index.cfm</w:t>
        </w:r>
      </w:hyperlink>
      <w:r>
        <w:rPr>
          <w:rFonts w:ascii="Times New Roman" w:hAnsi="Times New Roman" w:cs="Times New Roman"/>
          <w:sz w:val="24"/>
          <w:szCs w:val="24"/>
        </w:rPr>
        <w:t>, provides programmatic access to BEA’s published economic statistics using industry-standard methods and procedures.</w:t>
      </w:r>
    </w:p>
    <w:p w14:paraId="59172896" w14:textId="77777777" w:rsidR="00713F17" w:rsidRPr="00713F17" w:rsidRDefault="00713F17" w:rsidP="00713F17">
      <w:pPr>
        <w:spacing w:after="0"/>
        <w:ind w:left="-360"/>
        <w:rPr>
          <w:rFonts w:ascii="Times New Roman" w:hAnsi="Times New Roman" w:cs="Times New Roman"/>
          <w:b/>
          <w:sz w:val="24"/>
          <w:szCs w:val="24"/>
        </w:rPr>
      </w:pPr>
      <w:r w:rsidRPr="00713F17">
        <w:rPr>
          <w:rFonts w:ascii="Times New Roman" w:hAnsi="Times New Roman" w:cs="Times New Roman"/>
          <w:b/>
          <w:sz w:val="24"/>
          <w:szCs w:val="24"/>
        </w:rPr>
        <w:lastRenderedPageBreak/>
        <w:t>FRED Mobile App</w:t>
      </w:r>
    </w:p>
    <w:p w14:paraId="687CE1A6" w14:textId="3739CD40" w:rsidR="00713F17" w:rsidRDefault="00713F17" w:rsidP="00713F17">
      <w:pPr>
        <w:spacing w:after="0"/>
        <w:ind w:left="-360"/>
        <w:rPr>
          <w:rFonts w:ascii="Times New Roman" w:hAnsi="Times New Roman" w:cs="Times New Roman"/>
          <w:sz w:val="24"/>
          <w:szCs w:val="24"/>
        </w:rPr>
      </w:pPr>
      <w:r w:rsidRPr="00713F17">
        <w:rPr>
          <w:rFonts w:ascii="Times New Roman" w:hAnsi="Times New Roman" w:cs="Times New Roman"/>
          <w:noProof/>
          <w:sz w:val="24"/>
          <w:szCs w:val="24"/>
        </w:rPr>
        <w:drawing>
          <wp:anchor distT="0" distB="0" distL="114300" distR="114300" simplePos="0" relativeHeight="251662336" behindDoc="0" locked="0" layoutInCell="1" allowOverlap="1" wp14:anchorId="19E9915F" wp14:editId="307AAADA">
            <wp:simplePos x="0" y="0"/>
            <wp:positionH relativeFrom="column">
              <wp:posOffset>-238125</wp:posOffset>
            </wp:positionH>
            <wp:positionV relativeFrom="paragraph">
              <wp:posOffset>163195</wp:posOffset>
            </wp:positionV>
            <wp:extent cx="1330325" cy="447675"/>
            <wp:effectExtent l="0" t="0" r="3175" b="9525"/>
            <wp:wrapSquare wrapText="bothSides"/>
            <wp:docPr id="2" name="Picture 2" descr="C:\Users\rebur001\AppData\Local\Temp\wz1d64\FRE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bur001\AppData\Local\Temp\wz1d64\FRED.jpg"/>
                    <pic:cNvPicPr>
                      <a:picLocks noChangeAspect="1" noChangeArrowheads="1"/>
                    </pic:cNvPicPr>
                  </pic:nvPicPr>
                  <pic:blipFill>
                    <a:blip r:embed="rId37" cstate="print">
                      <a:extLst>
                        <a:ext uri="{28A0092B-C50C-407E-A947-70E740481C1C}">
                          <a14:useLocalDpi xmlns:a14="http://schemas.microsoft.com/office/drawing/2010/main" val="0"/>
                        </a:ext>
                      </a:extLst>
                    </a:blip>
                    <a:srcRect/>
                    <a:stretch>
                      <a:fillRect/>
                    </a:stretch>
                  </pic:blipFill>
                  <pic:spPr bwMode="auto">
                    <a:xfrm>
                      <a:off x="0" y="0"/>
                      <a:ext cx="1330325" cy="4476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13F17">
        <w:rPr>
          <w:rFonts w:ascii="Times New Roman" w:hAnsi="Times New Roman" w:cs="Times New Roman"/>
          <w:sz w:val="24"/>
          <w:szCs w:val="24"/>
        </w:rPr>
        <w:t>Receive the latest updates on the nation’s key economic indicators by downloading the FRED App &lt;</w:t>
      </w:r>
      <w:hyperlink r:id="rId38" w:history="1">
        <w:r w:rsidRPr="00713F17">
          <w:rPr>
            <w:rStyle w:val="Hyperlink"/>
            <w:rFonts w:ascii="Times New Roman" w:hAnsi="Times New Roman" w:cs="Times New Roman"/>
            <w:sz w:val="24"/>
            <w:szCs w:val="24"/>
          </w:rPr>
          <w:t>https://fred.stlouisfed.org/fred-mobile/</w:t>
        </w:r>
      </w:hyperlink>
      <w:r w:rsidRPr="00713F17">
        <w:rPr>
          <w:rFonts w:ascii="Times New Roman" w:hAnsi="Times New Roman" w:cs="Times New Roman"/>
          <w:sz w:val="24"/>
          <w:szCs w:val="24"/>
        </w:rPr>
        <w:t>&gt; for b</w:t>
      </w:r>
      <w:r w:rsidR="004E599A">
        <w:rPr>
          <w:rFonts w:ascii="Times New Roman" w:hAnsi="Times New Roman" w:cs="Times New Roman"/>
          <w:sz w:val="24"/>
          <w:szCs w:val="24"/>
        </w:rPr>
        <w:t xml:space="preserve">oth Apple and Android devices. </w:t>
      </w:r>
      <w:r w:rsidRPr="00713F17">
        <w:rPr>
          <w:rFonts w:ascii="Times New Roman" w:hAnsi="Times New Roman" w:cs="Times New Roman"/>
          <w:sz w:val="24"/>
          <w:szCs w:val="24"/>
        </w:rPr>
        <w:t>FRED, the signature database of the Federal Reserve Bank of St. Louis, now incorporates the Census Bureau’s 13 economic indicators.</w:t>
      </w:r>
    </w:p>
    <w:p w14:paraId="14EE13A8" w14:textId="77777777" w:rsidR="001705DB" w:rsidRDefault="001705DB" w:rsidP="001705DB">
      <w:pPr>
        <w:spacing w:after="0"/>
        <w:ind w:left="-360"/>
        <w:rPr>
          <w:rFonts w:ascii="Times New Roman" w:hAnsi="Times New Roman" w:cs="Times New Roman"/>
          <w:sz w:val="24"/>
          <w:szCs w:val="24"/>
        </w:rPr>
      </w:pPr>
    </w:p>
    <w:p w14:paraId="7EF99598" w14:textId="77777777" w:rsidR="00BB347F" w:rsidRDefault="00BB347F">
      <w:pPr>
        <w:rPr>
          <w:rFonts w:cs="Times New Roman"/>
          <w:sz w:val="24"/>
          <w:szCs w:val="24"/>
        </w:rPr>
      </w:pPr>
      <w:r>
        <w:rPr>
          <w:rFonts w:cs="Times New Roman"/>
          <w:sz w:val="24"/>
          <w:szCs w:val="24"/>
        </w:rPr>
        <w:br w:type="page"/>
      </w:r>
    </w:p>
    <w:p w14:paraId="66887099" w14:textId="6EB4A6C9" w:rsidR="00442812" w:rsidRPr="0051036D" w:rsidRDefault="003C7D75" w:rsidP="001172C9">
      <w:pPr>
        <w:tabs>
          <w:tab w:val="left" w:pos="-180"/>
        </w:tabs>
        <w:spacing w:after="120"/>
        <w:ind w:left="-173" w:hanging="187"/>
        <w:rPr>
          <w:rFonts w:ascii="Times New Roman" w:hAnsi="Times New Roman" w:cs="Times New Roman"/>
          <w:b/>
          <w:sz w:val="34"/>
          <w:szCs w:val="34"/>
        </w:rPr>
      </w:pPr>
      <w:r>
        <w:rPr>
          <w:rFonts w:ascii="Times New Roman" w:hAnsi="Times New Roman" w:cs="Times New Roman"/>
          <w:b/>
          <w:sz w:val="34"/>
          <w:szCs w:val="34"/>
        </w:rPr>
        <w:lastRenderedPageBreak/>
        <w:t>List of News Release Exhibits</w:t>
      </w:r>
    </w:p>
    <w:p w14:paraId="682722B5" w14:textId="77777777" w:rsidR="001964EE" w:rsidRPr="00426B2E" w:rsidRDefault="001964EE" w:rsidP="001172C9">
      <w:pPr>
        <w:spacing w:after="120"/>
        <w:ind w:left="-360"/>
        <w:rPr>
          <w:rFonts w:ascii="Times New Roman" w:hAnsi="Times New Roman" w:cs="Times New Roman"/>
          <w:b/>
          <w:szCs w:val="16"/>
          <w:u w:val="single"/>
        </w:rPr>
      </w:pPr>
      <w:r w:rsidRPr="00426B2E">
        <w:rPr>
          <w:rFonts w:ascii="Times New Roman" w:hAnsi="Times New Roman" w:cs="Times New Roman"/>
          <w:b/>
          <w:szCs w:val="16"/>
          <w:u w:val="single"/>
        </w:rPr>
        <w:t>Part A: Seasonally Adjusted (by Commodity/Service)</w:t>
      </w:r>
    </w:p>
    <w:p w14:paraId="406B5EFB" w14:textId="103F6CB7" w:rsidR="001964EE" w:rsidRPr="00426B2E" w:rsidRDefault="00105DB6" w:rsidP="001172C9">
      <w:pPr>
        <w:spacing w:after="0"/>
        <w:ind w:left="-360"/>
        <w:rPr>
          <w:rFonts w:ascii="Times New Roman" w:hAnsi="Times New Roman" w:cs="Times New Roman"/>
          <w:szCs w:val="16"/>
        </w:rPr>
      </w:pPr>
      <w:r w:rsidRPr="00426B2E">
        <w:rPr>
          <w:rFonts w:ascii="Times New Roman" w:hAnsi="Times New Roman" w:cs="Times New Roman"/>
          <w:szCs w:val="16"/>
        </w:rPr>
        <w:t>Exhibit</w:t>
      </w:r>
      <w:r w:rsidR="001964EE" w:rsidRPr="00426B2E">
        <w:rPr>
          <w:rFonts w:ascii="Times New Roman" w:hAnsi="Times New Roman" w:cs="Times New Roman"/>
          <w:szCs w:val="16"/>
        </w:rPr>
        <w:t xml:space="preserve"> 1. U.S. Internationa</w:t>
      </w:r>
      <w:r w:rsidR="00442812" w:rsidRPr="00426B2E">
        <w:rPr>
          <w:rFonts w:ascii="Times New Roman" w:hAnsi="Times New Roman" w:cs="Times New Roman"/>
          <w:szCs w:val="16"/>
        </w:rPr>
        <w:t>l Trade in Goods and Services</w:t>
      </w:r>
    </w:p>
    <w:p w14:paraId="7227AC3B" w14:textId="2989A1A8" w:rsidR="001964EE" w:rsidRPr="00426B2E" w:rsidRDefault="00105DB6" w:rsidP="001172C9">
      <w:pPr>
        <w:spacing w:after="0"/>
        <w:ind w:left="-360"/>
        <w:rPr>
          <w:rFonts w:ascii="Times New Roman" w:hAnsi="Times New Roman" w:cs="Times New Roman"/>
          <w:szCs w:val="16"/>
        </w:rPr>
      </w:pPr>
      <w:r w:rsidRPr="00426B2E">
        <w:rPr>
          <w:rFonts w:ascii="Times New Roman" w:hAnsi="Times New Roman" w:cs="Times New Roman"/>
          <w:szCs w:val="16"/>
        </w:rPr>
        <w:t>Exhibit</w:t>
      </w:r>
      <w:r w:rsidR="001964EE" w:rsidRPr="00426B2E">
        <w:rPr>
          <w:rFonts w:ascii="Times New Roman" w:hAnsi="Times New Roman" w:cs="Times New Roman"/>
          <w:szCs w:val="16"/>
        </w:rPr>
        <w:t xml:space="preserve"> 2. U.S. International Trade in Goods and Service</w:t>
      </w:r>
      <w:r w:rsidR="00442812" w:rsidRPr="00426B2E">
        <w:rPr>
          <w:rFonts w:ascii="Times New Roman" w:hAnsi="Times New Roman" w:cs="Times New Roman"/>
          <w:szCs w:val="16"/>
        </w:rPr>
        <w:t>s Three-Month Moving Averages</w:t>
      </w:r>
    </w:p>
    <w:p w14:paraId="77074698" w14:textId="5562C424" w:rsidR="001964EE" w:rsidRPr="00426B2E" w:rsidRDefault="00105DB6" w:rsidP="001172C9">
      <w:pPr>
        <w:spacing w:after="0"/>
        <w:ind w:left="-360"/>
        <w:rPr>
          <w:rFonts w:ascii="Times New Roman" w:hAnsi="Times New Roman" w:cs="Times New Roman"/>
          <w:szCs w:val="16"/>
        </w:rPr>
      </w:pPr>
      <w:r w:rsidRPr="00426B2E">
        <w:rPr>
          <w:rFonts w:ascii="Times New Roman" w:hAnsi="Times New Roman" w:cs="Times New Roman"/>
          <w:szCs w:val="16"/>
        </w:rPr>
        <w:t xml:space="preserve">Exhibit </w:t>
      </w:r>
      <w:r w:rsidR="001964EE" w:rsidRPr="00426B2E">
        <w:rPr>
          <w:rFonts w:ascii="Times New Roman" w:hAnsi="Times New Roman" w:cs="Times New Roman"/>
          <w:szCs w:val="16"/>
        </w:rPr>
        <w:t>3. U.S. Exports</w:t>
      </w:r>
      <w:r w:rsidR="00442812" w:rsidRPr="00426B2E">
        <w:rPr>
          <w:rFonts w:ascii="Times New Roman" w:hAnsi="Times New Roman" w:cs="Times New Roman"/>
          <w:szCs w:val="16"/>
        </w:rPr>
        <w:t xml:space="preserve"> of Services by Major Category</w:t>
      </w:r>
      <w:r w:rsidR="00442812" w:rsidRPr="00426B2E">
        <w:rPr>
          <w:rFonts w:ascii="Times New Roman" w:hAnsi="Times New Roman" w:cs="Times New Roman"/>
          <w:szCs w:val="16"/>
        </w:rPr>
        <w:tab/>
      </w:r>
    </w:p>
    <w:p w14:paraId="6D2C3C76" w14:textId="43A485D6" w:rsidR="001964EE" w:rsidRPr="00426B2E" w:rsidRDefault="00105DB6" w:rsidP="001172C9">
      <w:pPr>
        <w:spacing w:after="0"/>
        <w:ind w:left="-360"/>
        <w:rPr>
          <w:rFonts w:ascii="Times New Roman" w:hAnsi="Times New Roman" w:cs="Times New Roman"/>
          <w:szCs w:val="16"/>
        </w:rPr>
      </w:pPr>
      <w:r w:rsidRPr="00426B2E">
        <w:rPr>
          <w:rFonts w:ascii="Times New Roman" w:hAnsi="Times New Roman" w:cs="Times New Roman"/>
          <w:szCs w:val="16"/>
        </w:rPr>
        <w:t xml:space="preserve">Exhibit </w:t>
      </w:r>
      <w:r w:rsidR="001964EE" w:rsidRPr="00426B2E">
        <w:rPr>
          <w:rFonts w:ascii="Times New Roman" w:hAnsi="Times New Roman" w:cs="Times New Roman"/>
          <w:szCs w:val="16"/>
        </w:rPr>
        <w:t xml:space="preserve">4. U.S. Imports </w:t>
      </w:r>
      <w:r w:rsidR="00442812" w:rsidRPr="00426B2E">
        <w:rPr>
          <w:rFonts w:ascii="Times New Roman" w:hAnsi="Times New Roman" w:cs="Times New Roman"/>
          <w:szCs w:val="16"/>
        </w:rPr>
        <w:t xml:space="preserve">of Services by Major Category </w:t>
      </w:r>
    </w:p>
    <w:p w14:paraId="551875D3" w14:textId="54D0B14F" w:rsidR="001964EE" w:rsidRPr="00426B2E" w:rsidRDefault="00105DB6" w:rsidP="001172C9">
      <w:pPr>
        <w:spacing w:after="0"/>
        <w:ind w:left="-360"/>
        <w:rPr>
          <w:rFonts w:ascii="Times New Roman" w:hAnsi="Times New Roman" w:cs="Times New Roman"/>
          <w:szCs w:val="16"/>
        </w:rPr>
      </w:pPr>
      <w:r w:rsidRPr="00426B2E">
        <w:rPr>
          <w:rFonts w:ascii="Times New Roman" w:hAnsi="Times New Roman" w:cs="Times New Roman"/>
          <w:szCs w:val="16"/>
        </w:rPr>
        <w:t xml:space="preserve">Exhibit </w:t>
      </w:r>
      <w:r w:rsidR="001964EE" w:rsidRPr="00426B2E">
        <w:rPr>
          <w:rFonts w:ascii="Times New Roman" w:hAnsi="Times New Roman" w:cs="Times New Roman"/>
          <w:szCs w:val="16"/>
        </w:rPr>
        <w:t>5. U</w:t>
      </w:r>
      <w:r w:rsidR="00442812" w:rsidRPr="00426B2E">
        <w:rPr>
          <w:rFonts w:ascii="Times New Roman" w:hAnsi="Times New Roman" w:cs="Times New Roman"/>
          <w:szCs w:val="16"/>
        </w:rPr>
        <w:t>.S. Trade in Goods</w:t>
      </w:r>
    </w:p>
    <w:p w14:paraId="266CFC57" w14:textId="5BB9F40D" w:rsidR="001964EE" w:rsidRPr="00426B2E" w:rsidRDefault="00105DB6" w:rsidP="001172C9">
      <w:pPr>
        <w:spacing w:after="0"/>
        <w:ind w:left="-360"/>
        <w:rPr>
          <w:rFonts w:ascii="Times New Roman" w:hAnsi="Times New Roman" w:cs="Times New Roman"/>
          <w:szCs w:val="16"/>
        </w:rPr>
      </w:pPr>
      <w:r w:rsidRPr="00426B2E">
        <w:rPr>
          <w:rFonts w:ascii="Times New Roman" w:hAnsi="Times New Roman" w:cs="Times New Roman"/>
          <w:szCs w:val="16"/>
        </w:rPr>
        <w:t xml:space="preserve">Exhibit </w:t>
      </w:r>
      <w:r w:rsidR="001964EE" w:rsidRPr="00426B2E">
        <w:rPr>
          <w:rFonts w:ascii="Times New Roman" w:hAnsi="Times New Roman" w:cs="Times New Roman"/>
          <w:szCs w:val="16"/>
        </w:rPr>
        <w:t xml:space="preserve">6. U.S. Trade in Goods </w:t>
      </w:r>
      <w:r w:rsidR="00442812" w:rsidRPr="00426B2E">
        <w:rPr>
          <w:rFonts w:ascii="Times New Roman" w:hAnsi="Times New Roman" w:cs="Times New Roman"/>
          <w:szCs w:val="16"/>
        </w:rPr>
        <w:t>by Principal End-Use Category</w:t>
      </w:r>
    </w:p>
    <w:p w14:paraId="3E196388" w14:textId="7583A639" w:rsidR="001964EE" w:rsidRPr="00426B2E" w:rsidRDefault="00105DB6" w:rsidP="001172C9">
      <w:pPr>
        <w:spacing w:after="0"/>
        <w:ind w:left="-360"/>
        <w:rPr>
          <w:rFonts w:ascii="Times New Roman" w:hAnsi="Times New Roman" w:cs="Times New Roman"/>
          <w:szCs w:val="16"/>
        </w:rPr>
      </w:pPr>
      <w:r w:rsidRPr="00426B2E">
        <w:rPr>
          <w:rFonts w:ascii="Times New Roman" w:hAnsi="Times New Roman" w:cs="Times New Roman"/>
          <w:szCs w:val="16"/>
        </w:rPr>
        <w:t xml:space="preserve">Exhibit </w:t>
      </w:r>
      <w:r w:rsidR="001964EE" w:rsidRPr="00426B2E">
        <w:rPr>
          <w:rFonts w:ascii="Times New Roman" w:hAnsi="Times New Roman" w:cs="Times New Roman"/>
          <w:szCs w:val="16"/>
        </w:rPr>
        <w:t>7. U.S. Exports of Goods by E</w:t>
      </w:r>
      <w:r w:rsidR="00442812" w:rsidRPr="00426B2E">
        <w:rPr>
          <w:rFonts w:ascii="Times New Roman" w:hAnsi="Times New Roman" w:cs="Times New Roman"/>
          <w:szCs w:val="16"/>
        </w:rPr>
        <w:t>nd-Use Category and Commodity</w:t>
      </w:r>
    </w:p>
    <w:p w14:paraId="6F0C2EA5" w14:textId="5F91562B" w:rsidR="001964EE" w:rsidRPr="00426B2E" w:rsidRDefault="00105DB6" w:rsidP="001172C9">
      <w:pPr>
        <w:spacing w:after="0"/>
        <w:ind w:left="-360"/>
        <w:rPr>
          <w:rFonts w:ascii="Times New Roman" w:hAnsi="Times New Roman" w:cs="Times New Roman"/>
          <w:szCs w:val="16"/>
        </w:rPr>
      </w:pPr>
      <w:r w:rsidRPr="00426B2E">
        <w:rPr>
          <w:rFonts w:ascii="Times New Roman" w:hAnsi="Times New Roman" w:cs="Times New Roman"/>
          <w:szCs w:val="16"/>
        </w:rPr>
        <w:t xml:space="preserve">Exhibit </w:t>
      </w:r>
      <w:r w:rsidR="001964EE" w:rsidRPr="00426B2E">
        <w:rPr>
          <w:rFonts w:ascii="Times New Roman" w:hAnsi="Times New Roman" w:cs="Times New Roman"/>
          <w:szCs w:val="16"/>
        </w:rPr>
        <w:t>8. U.S. Imports of Goods by E</w:t>
      </w:r>
      <w:r w:rsidR="00442812" w:rsidRPr="00426B2E">
        <w:rPr>
          <w:rFonts w:ascii="Times New Roman" w:hAnsi="Times New Roman" w:cs="Times New Roman"/>
          <w:szCs w:val="16"/>
        </w:rPr>
        <w:t>nd-Use Category and Commodity</w:t>
      </w:r>
    </w:p>
    <w:p w14:paraId="416672C4" w14:textId="5D09DCCB" w:rsidR="001964EE" w:rsidRPr="00426B2E" w:rsidRDefault="00105DB6" w:rsidP="001172C9">
      <w:pPr>
        <w:spacing w:after="0"/>
        <w:ind w:left="-360"/>
        <w:rPr>
          <w:rFonts w:ascii="Times New Roman" w:hAnsi="Times New Roman" w:cs="Times New Roman"/>
          <w:szCs w:val="16"/>
        </w:rPr>
      </w:pPr>
      <w:r w:rsidRPr="00426B2E">
        <w:rPr>
          <w:rFonts w:ascii="Times New Roman" w:hAnsi="Times New Roman" w:cs="Times New Roman"/>
          <w:szCs w:val="16"/>
        </w:rPr>
        <w:t xml:space="preserve">Exhibit </w:t>
      </w:r>
      <w:r w:rsidR="001964EE" w:rsidRPr="00426B2E">
        <w:rPr>
          <w:rFonts w:ascii="Times New Roman" w:hAnsi="Times New Roman" w:cs="Times New Roman"/>
          <w:szCs w:val="16"/>
        </w:rPr>
        <w:t>9. U.S. Trade in Petroleum and Non-P</w:t>
      </w:r>
      <w:r w:rsidR="00442812" w:rsidRPr="00426B2E">
        <w:rPr>
          <w:rFonts w:ascii="Times New Roman" w:hAnsi="Times New Roman" w:cs="Times New Roman"/>
          <w:szCs w:val="16"/>
        </w:rPr>
        <w:t>etroleum Products by End-Use</w:t>
      </w:r>
    </w:p>
    <w:p w14:paraId="484F24D7" w14:textId="24624CE1" w:rsidR="001964EE" w:rsidRPr="00426B2E" w:rsidRDefault="00105DB6" w:rsidP="001172C9">
      <w:pPr>
        <w:spacing w:after="0"/>
        <w:ind w:left="-360"/>
        <w:rPr>
          <w:rFonts w:ascii="Times New Roman" w:hAnsi="Times New Roman" w:cs="Times New Roman"/>
          <w:szCs w:val="16"/>
        </w:rPr>
      </w:pPr>
      <w:r w:rsidRPr="00426B2E">
        <w:rPr>
          <w:rFonts w:ascii="Times New Roman" w:hAnsi="Times New Roman" w:cs="Times New Roman"/>
          <w:szCs w:val="16"/>
        </w:rPr>
        <w:t xml:space="preserve">Exhibit </w:t>
      </w:r>
      <w:r w:rsidR="001964EE" w:rsidRPr="00426B2E">
        <w:rPr>
          <w:rFonts w:ascii="Times New Roman" w:hAnsi="Times New Roman" w:cs="Times New Roman"/>
          <w:szCs w:val="16"/>
        </w:rPr>
        <w:t>10. Real U.S. Trade in Goods by Principal End-Use Category – Chained (2009) Dollars</w:t>
      </w:r>
    </w:p>
    <w:p w14:paraId="1F451F34" w14:textId="7C04A405" w:rsidR="001964EE" w:rsidRPr="00426B2E" w:rsidRDefault="00105DB6" w:rsidP="001172C9">
      <w:pPr>
        <w:spacing w:after="120"/>
        <w:ind w:left="-360"/>
        <w:rPr>
          <w:rFonts w:ascii="Times New Roman" w:hAnsi="Times New Roman" w:cs="Times New Roman"/>
          <w:szCs w:val="16"/>
        </w:rPr>
      </w:pPr>
      <w:r w:rsidRPr="00426B2E">
        <w:rPr>
          <w:rFonts w:ascii="Times New Roman" w:hAnsi="Times New Roman" w:cs="Times New Roman"/>
          <w:szCs w:val="16"/>
        </w:rPr>
        <w:t xml:space="preserve">Exhibit </w:t>
      </w:r>
      <w:r w:rsidR="001964EE" w:rsidRPr="00426B2E">
        <w:rPr>
          <w:rFonts w:ascii="Times New Roman" w:hAnsi="Times New Roman" w:cs="Times New Roman"/>
          <w:szCs w:val="16"/>
        </w:rPr>
        <w:t>11. Real U.S. Trade in Petroleum and Non-Petroleum Products by End-Use – Chained (2009) Dollars</w:t>
      </w:r>
    </w:p>
    <w:p w14:paraId="39CAD23A" w14:textId="77777777" w:rsidR="001964EE" w:rsidRPr="00426B2E" w:rsidRDefault="001964EE" w:rsidP="001172C9">
      <w:pPr>
        <w:spacing w:after="120"/>
        <w:ind w:left="-360"/>
        <w:rPr>
          <w:rFonts w:ascii="Times New Roman" w:hAnsi="Times New Roman" w:cs="Times New Roman"/>
          <w:b/>
          <w:szCs w:val="16"/>
          <w:u w:val="single"/>
        </w:rPr>
      </w:pPr>
      <w:r w:rsidRPr="00426B2E">
        <w:rPr>
          <w:rFonts w:ascii="Times New Roman" w:hAnsi="Times New Roman" w:cs="Times New Roman"/>
          <w:b/>
          <w:szCs w:val="16"/>
          <w:u w:val="single"/>
        </w:rPr>
        <w:t>Part B: Not Seasonally Adjusted</w:t>
      </w:r>
    </w:p>
    <w:p w14:paraId="34EFC7B9" w14:textId="68A84D39" w:rsidR="001964EE" w:rsidRPr="00426B2E" w:rsidRDefault="00105DB6" w:rsidP="001172C9">
      <w:pPr>
        <w:spacing w:after="0"/>
        <w:ind w:left="-360"/>
        <w:rPr>
          <w:rFonts w:ascii="Times New Roman" w:hAnsi="Times New Roman" w:cs="Times New Roman"/>
          <w:szCs w:val="16"/>
        </w:rPr>
      </w:pPr>
      <w:r w:rsidRPr="00426B2E">
        <w:rPr>
          <w:rFonts w:ascii="Times New Roman" w:hAnsi="Times New Roman" w:cs="Times New Roman"/>
          <w:szCs w:val="16"/>
        </w:rPr>
        <w:t xml:space="preserve">Exhibit </w:t>
      </w:r>
      <w:r w:rsidR="001964EE" w:rsidRPr="00426B2E">
        <w:rPr>
          <w:rFonts w:ascii="Times New Roman" w:hAnsi="Times New Roman" w:cs="Times New Roman"/>
          <w:szCs w:val="16"/>
        </w:rPr>
        <w:t xml:space="preserve">12. </w:t>
      </w:r>
      <w:r w:rsidR="00442812" w:rsidRPr="00426B2E">
        <w:rPr>
          <w:rFonts w:ascii="Times New Roman" w:hAnsi="Times New Roman" w:cs="Times New Roman"/>
          <w:szCs w:val="16"/>
        </w:rPr>
        <w:t>U.S. Trade in Goods</w:t>
      </w:r>
    </w:p>
    <w:p w14:paraId="6DCDD713" w14:textId="568DB608" w:rsidR="001964EE" w:rsidRPr="00426B2E" w:rsidRDefault="00105DB6" w:rsidP="001172C9">
      <w:pPr>
        <w:spacing w:after="0"/>
        <w:ind w:left="-360"/>
        <w:rPr>
          <w:rFonts w:ascii="Times New Roman" w:hAnsi="Times New Roman" w:cs="Times New Roman"/>
          <w:szCs w:val="16"/>
        </w:rPr>
      </w:pPr>
      <w:r w:rsidRPr="00426B2E">
        <w:rPr>
          <w:rFonts w:ascii="Times New Roman" w:hAnsi="Times New Roman" w:cs="Times New Roman"/>
          <w:szCs w:val="16"/>
        </w:rPr>
        <w:t xml:space="preserve">Exhibit </w:t>
      </w:r>
      <w:r w:rsidR="001964EE" w:rsidRPr="00426B2E">
        <w:rPr>
          <w:rFonts w:ascii="Times New Roman" w:hAnsi="Times New Roman" w:cs="Times New Roman"/>
          <w:szCs w:val="16"/>
        </w:rPr>
        <w:t>13. U.S. Trade in Goods b</w:t>
      </w:r>
      <w:r w:rsidR="00442812" w:rsidRPr="00426B2E">
        <w:rPr>
          <w:rFonts w:ascii="Times New Roman" w:hAnsi="Times New Roman" w:cs="Times New Roman"/>
          <w:szCs w:val="16"/>
        </w:rPr>
        <w:t>y Principal End-Use Category</w:t>
      </w:r>
    </w:p>
    <w:p w14:paraId="0CC0F010" w14:textId="21DC5594" w:rsidR="001964EE" w:rsidRPr="00426B2E" w:rsidRDefault="003E19CE" w:rsidP="001172C9">
      <w:pPr>
        <w:spacing w:after="0"/>
        <w:ind w:left="-360"/>
        <w:rPr>
          <w:rFonts w:ascii="Times New Roman" w:hAnsi="Times New Roman" w:cs="Times New Roman"/>
          <w:szCs w:val="16"/>
        </w:rPr>
      </w:pPr>
      <w:r w:rsidRPr="00426B2E">
        <w:rPr>
          <w:rFonts w:ascii="Times New Roman" w:hAnsi="Times New Roman" w:cs="Times New Roman"/>
          <w:szCs w:val="16"/>
        </w:rPr>
        <w:t>Exhibit 14. U.S. Trade in Goods by Selected Countries and Areas</w:t>
      </w:r>
      <w:r w:rsidRPr="00426B2E">
        <w:rPr>
          <w:rFonts w:ascii="Times New Roman" w:hAnsi="Times New Roman" w:cs="Times New Roman"/>
        </w:rPr>
        <w:t>: 2018</w:t>
      </w:r>
    </w:p>
    <w:p w14:paraId="60C6488A" w14:textId="746E9B45" w:rsidR="001964EE" w:rsidRPr="00426B2E" w:rsidRDefault="003E19CE" w:rsidP="001172C9">
      <w:pPr>
        <w:spacing w:after="0"/>
        <w:ind w:left="-360"/>
        <w:rPr>
          <w:rFonts w:ascii="Times New Roman" w:hAnsi="Times New Roman" w:cs="Times New Roman"/>
          <w:szCs w:val="16"/>
        </w:rPr>
      </w:pPr>
      <w:r w:rsidRPr="00426B2E">
        <w:rPr>
          <w:rFonts w:ascii="Times New Roman" w:hAnsi="Times New Roman" w:cs="Times New Roman"/>
          <w:bCs/>
          <w:szCs w:val="16"/>
        </w:rPr>
        <w:t xml:space="preserve">Exhibit 14a. U.S. Trade </w:t>
      </w:r>
      <w:r w:rsidRPr="00426B2E">
        <w:rPr>
          <w:rFonts w:ascii="Times New Roman" w:hAnsi="Times New Roman" w:cs="Times New Roman"/>
        </w:rPr>
        <w:t>in Goods by Selected Countries and Areas: 2017</w:t>
      </w:r>
    </w:p>
    <w:p w14:paraId="31D9AED9" w14:textId="02E27395" w:rsidR="001964EE" w:rsidRPr="00426B2E" w:rsidRDefault="00105DB6" w:rsidP="001172C9">
      <w:pPr>
        <w:spacing w:after="0"/>
        <w:ind w:left="-360"/>
        <w:rPr>
          <w:rFonts w:ascii="Times New Roman" w:hAnsi="Times New Roman" w:cs="Times New Roman"/>
          <w:szCs w:val="16"/>
        </w:rPr>
      </w:pPr>
      <w:r w:rsidRPr="00426B2E">
        <w:rPr>
          <w:rFonts w:ascii="Times New Roman" w:hAnsi="Times New Roman" w:cs="Times New Roman"/>
          <w:szCs w:val="16"/>
        </w:rPr>
        <w:t xml:space="preserve">Exhibit </w:t>
      </w:r>
      <w:r w:rsidR="001964EE" w:rsidRPr="00426B2E">
        <w:rPr>
          <w:rFonts w:ascii="Times New Roman" w:hAnsi="Times New Roman" w:cs="Times New Roman"/>
          <w:szCs w:val="16"/>
        </w:rPr>
        <w:t>15. U.S. Trade in Go</w:t>
      </w:r>
      <w:r w:rsidR="00442812" w:rsidRPr="00426B2E">
        <w:rPr>
          <w:rFonts w:ascii="Times New Roman" w:hAnsi="Times New Roman" w:cs="Times New Roman"/>
          <w:szCs w:val="16"/>
        </w:rPr>
        <w:t>ods by Principal Commodities</w:t>
      </w:r>
    </w:p>
    <w:p w14:paraId="07159713" w14:textId="185B8D20" w:rsidR="001964EE" w:rsidRPr="00426B2E" w:rsidRDefault="00105DB6" w:rsidP="001172C9">
      <w:pPr>
        <w:spacing w:after="0"/>
        <w:ind w:left="-360"/>
        <w:rPr>
          <w:rFonts w:ascii="Times New Roman" w:hAnsi="Times New Roman" w:cs="Times New Roman"/>
          <w:szCs w:val="16"/>
        </w:rPr>
      </w:pPr>
      <w:r w:rsidRPr="00426B2E">
        <w:rPr>
          <w:rFonts w:ascii="Times New Roman" w:hAnsi="Times New Roman" w:cs="Times New Roman"/>
          <w:szCs w:val="16"/>
        </w:rPr>
        <w:t xml:space="preserve">Exhibit </w:t>
      </w:r>
      <w:r w:rsidR="001964EE" w:rsidRPr="00426B2E">
        <w:rPr>
          <w:rFonts w:ascii="Times New Roman" w:hAnsi="Times New Roman" w:cs="Times New Roman"/>
          <w:szCs w:val="16"/>
        </w:rPr>
        <w:t>16. U.S. Trade in</w:t>
      </w:r>
      <w:r w:rsidR="00442812" w:rsidRPr="00426B2E">
        <w:rPr>
          <w:rFonts w:ascii="Times New Roman" w:hAnsi="Times New Roman" w:cs="Times New Roman"/>
          <w:szCs w:val="16"/>
        </w:rPr>
        <w:t xml:space="preserve"> Advanced Technology Products</w:t>
      </w:r>
      <w:r w:rsidR="00442812" w:rsidRPr="00426B2E">
        <w:rPr>
          <w:rFonts w:ascii="Times New Roman" w:hAnsi="Times New Roman" w:cs="Times New Roman"/>
          <w:szCs w:val="16"/>
        </w:rPr>
        <w:tab/>
      </w:r>
    </w:p>
    <w:p w14:paraId="65AA806C" w14:textId="59BEE4E3" w:rsidR="001964EE" w:rsidRPr="00426B2E" w:rsidRDefault="00105DB6" w:rsidP="001172C9">
      <w:pPr>
        <w:spacing w:after="0"/>
        <w:ind w:left="-360"/>
        <w:rPr>
          <w:rFonts w:ascii="Times New Roman" w:hAnsi="Times New Roman" w:cs="Times New Roman"/>
          <w:szCs w:val="16"/>
        </w:rPr>
      </w:pPr>
      <w:r w:rsidRPr="00426B2E">
        <w:rPr>
          <w:rFonts w:ascii="Times New Roman" w:hAnsi="Times New Roman" w:cs="Times New Roman"/>
          <w:szCs w:val="16"/>
        </w:rPr>
        <w:t xml:space="preserve">Exhibit </w:t>
      </w:r>
      <w:r w:rsidR="001964EE" w:rsidRPr="00426B2E">
        <w:rPr>
          <w:rFonts w:ascii="Times New Roman" w:hAnsi="Times New Roman" w:cs="Times New Roman"/>
          <w:szCs w:val="16"/>
        </w:rPr>
        <w:t>16a. U.S. Trade in Advanced Technology Products by Technology Group and Selected Countries and Areas</w:t>
      </w:r>
    </w:p>
    <w:p w14:paraId="590D8972" w14:textId="4EC79185" w:rsidR="001964EE" w:rsidRPr="00426B2E" w:rsidRDefault="00105DB6" w:rsidP="001172C9">
      <w:pPr>
        <w:spacing w:after="0"/>
        <w:ind w:left="-360"/>
        <w:rPr>
          <w:rFonts w:ascii="Times New Roman" w:hAnsi="Times New Roman" w:cs="Times New Roman"/>
          <w:szCs w:val="16"/>
        </w:rPr>
      </w:pPr>
      <w:r w:rsidRPr="00426B2E">
        <w:rPr>
          <w:rFonts w:ascii="Times New Roman" w:hAnsi="Times New Roman" w:cs="Times New Roman"/>
          <w:szCs w:val="16"/>
        </w:rPr>
        <w:t xml:space="preserve">Exhibit </w:t>
      </w:r>
      <w:r w:rsidR="001964EE" w:rsidRPr="00426B2E">
        <w:rPr>
          <w:rFonts w:ascii="Times New Roman" w:hAnsi="Times New Roman" w:cs="Times New Roman"/>
          <w:szCs w:val="16"/>
        </w:rPr>
        <w:t>17. U.S. Imports of Energy-Related Petroleum P</w:t>
      </w:r>
      <w:r w:rsidR="00442812" w:rsidRPr="00426B2E">
        <w:rPr>
          <w:rFonts w:ascii="Times New Roman" w:hAnsi="Times New Roman" w:cs="Times New Roman"/>
          <w:szCs w:val="16"/>
        </w:rPr>
        <w:t>roducts, Including Crude Oil</w:t>
      </w:r>
    </w:p>
    <w:p w14:paraId="775ECEED" w14:textId="2F17770C" w:rsidR="001964EE" w:rsidRPr="00426B2E" w:rsidRDefault="00105DB6" w:rsidP="001172C9">
      <w:pPr>
        <w:spacing w:after="0"/>
        <w:ind w:left="-360"/>
        <w:rPr>
          <w:rFonts w:ascii="Times New Roman" w:hAnsi="Times New Roman" w:cs="Times New Roman"/>
          <w:szCs w:val="16"/>
        </w:rPr>
      </w:pPr>
      <w:r w:rsidRPr="00426B2E">
        <w:rPr>
          <w:rFonts w:ascii="Times New Roman" w:hAnsi="Times New Roman" w:cs="Times New Roman"/>
          <w:szCs w:val="16"/>
        </w:rPr>
        <w:t xml:space="preserve">Exhibit </w:t>
      </w:r>
      <w:r w:rsidR="001964EE" w:rsidRPr="00426B2E">
        <w:rPr>
          <w:rFonts w:ascii="Times New Roman" w:hAnsi="Times New Roman" w:cs="Times New Roman"/>
          <w:szCs w:val="16"/>
        </w:rPr>
        <w:t>17a. U.S. Imports of Cr</w:t>
      </w:r>
      <w:r w:rsidR="00442812" w:rsidRPr="00426B2E">
        <w:rPr>
          <w:rFonts w:ascii="Times New Roman" w:hAnsi="Times New Roman" w:cs="Times New Roman"/>
          <w:szCs w:val="16"/>
        </w:rPr>
        <w:t>ude Oil by Selected Countries</w:t>
      </w:r>
    </w:p>
    <w:p w14:paraId="0B354540" w14:textId="2FF2DEC7" w:rsidR="001964EE" w:rsidRPr="00426B2E" w:rsidRDefault="00105DB6" w:rsidP="001172C9">
      <w:pPr>
        <w:spacing w:after="120"/>
        <w:ind w:left="-360"/>
        <w:rPr>
          <w:rFonts w:ascii="Times New Roman" w:hAnsi="Times New Roman" w:cs="Times New Roman"/>
          <w:szCs w:val="16"/>
        </w:rPr>
      </w:pPr>
      <w:r w:rsidRPr="00426B2E">
        <w:rPr>
          <w:rFonts w:ascii="Times New Roman" w:hAnsi="Times New Roman" w:cs="Times New Roman"/>
          <w:szCs w:val="16"/>
        </w:rPr>
        <w:t xml:space="preserve">Exhibit </w:t>
      </w:r>
      <w:r w:rsidR="001964EE" w:rsidRPr="00426B2E">
        <w:rPr>
          <w:rFonts w:ascii="Times New Roman" w:hAnsi="Times New Roman" w:cs="Times New Roman"/>
          <w:szCs w:val="16"/>
        </w:rPr>
        <w:t>18. U.S. Trade in Motor Vehicles an</w:t>
      </w:r>
      <w:r w:rsidR="00442812" w:rsidRPr="00426B2E">
        <w:rPr>
          <w:rFonts w:ascii="Times New Roman" w:hAnsi="Times New Roman" w:cs="Times New Roman"/>
          <w:szCs w:val="16"/>
        </w:rPr>
        <w:t>d Parts by Selected Countries</w:t>
      </w:r>
    </w:p>
    <w:p w14:paraId="15AE5223" w14:textId="77777777" w:rsidR="001964EE" w:rsidRPr="00426B2E" w:rsidRDefault="001964EE" w:rsidP="001172C9">
      <w:pPr>
        <w:spacing w:after="120"/>
        <w:ind w:left="-360"/>
        <w:rPr>
          <w:rFonts w:ascii="Times New Roman" w:hAnsi="Times New Roman" w:cs="Times New Roman"/>
          <w:b/>
          <w:szCs w:val="16"/>
          <w:u w:val="single"/>
        </w:rPr>
      </w:pPr>
      <w:r w:rsidRPr="00426B2E">
        <w:rPr>
          <w:rFonts w:ascii="Times New Roman" w:hAnsi="Times New Roman" w:cs="Times New Roman"/>
          <w:b/>
          <w:szCs w:val="16"/>
          <w:u w:val="single"/>
        </w:rPr>
        <w:t>Part C: Seasonally Adjusted (by Geography)</w:t>
      </w:r>
    </w:p>
    <w:p w14:paraId="5B91D0CB" w14:textId="042F1FF0" w:rsidR="001964EE" w:rsidRPr="00426B2E" w:rsidRDefault="00105DB6" w:rsidP="001172C9">
      <w:pPr>
        <w:spacing w:after="0"/>
        <w:ind w:left="-360"/>
        <w:rPr>
          <w:rFonts w:ascii="Times New Roman" w:hAnsi="Times New Roman" w:cs="Times New Roman"/>
          <w:szCs w:val="16"/>
        </w:rPr>
      </w:pPr>
      <w:r w:rsidRPr="00426B2E">
        <w:rPr>
          <w:rFonts w:ascii="Times New Roman" w:hAnsi="Times New Roman" w:cs="Times New Roman"/>
          <w:szCs w:val="16"/>
        </w:rPr>
        <w:t xml:space="preserve">Exhibit </w:t>
      </w:r>
      <w:r w:rsidR="001964EE" w:rsidRPr="00426B2E">
        <w:rPr>
          <w:rFonts w:ascii="Times New Roman" w:hAnsi="Times New Roman" w:cs="Times New Roman"/>
          <w:szCs w:val="16"/>
        </w:rPr>
        <w:t>19. U.S. Trade in Goods by Selected Count</w:t>
      </w:r>
      <w:r w:rsidR="00442812" w:rsidRPr="00426B2E">
        <w:rPr>
          <w:rFonts w:ascii="Times New Roman" w:hAnsi="Times New Roman" w:cs="Times New Roman"/>
          <w:szCs w:val="16"/>
        </w:rPr>
        <w:t>ries and Areas – Census Basis</w:t>
      </w:r>
      <w:r w:rsidR="00442812" w:rsidRPr="00426B2E">
        <w:rPr>
          <w:rFonts w:ascii="Times New Roman" w:hAnsi="Times New Roman" w:cs="Times New Roman"/>
          <w:szCs w:val="16"/>
        </w:rPr>
        <w:tab/>
      </w:r>
    </w:p>
    <w:p w14:paraId="0403F1E9" w14:textId="70F9332C" w:rsidR="001964EE" w:rsidRPr="00426B2E" w:rsidRDefault="00105DB6" w:rsidP="001172C9">
      <w:pPr>
        <w:spacing w:after="0"/>
        <w:ind w:left="-360"/>
        <w:rPr>
          <w:rFonts w:ascii="Times New Roman" w:hAnsi="Times New Roman" w:cs="Times New Roman"/>
          <w:szCs w:val="16"/>
        </w:rPr>
      </w:pPr>
      <w:r w:rsidRPr="00426B2E">
        <w:rPr>
          <w:rFonts w:ascii="Times New Roman" w:hAnsi="Times New Roman" w:cs="Times New Roman"/>
          <w:szCs w:val="16"/>
        </w:rPr>
        <w:t xml:space="preserve">Exhibit </w:t>
      </w:r>
      <w:r w:rsidR="001964EE" w:rsidRPr="00426B2E">
        <w:rPr>
          <w:rFonts w:ascii="Times New Roman" w:hAnsi="Times New Roman" w:cs="Times New Roman"/>
          <w:szCs w:val="16"/>
        </w:rPr>
        <w:t>20. U.S. Trade in Goods and Services by Selected Co</w:t>
      </w:r>
      <w:r w:rsidR="00442812" w:rsidRPr="00426B2E">
        <w:rPr>
          <w:rFonts w:ascii="Times New Roman" w:hAnsi="Times New Roman" w:cs="Times New Roman"/>
          <w:szCs w:val="16"/>
        </w:rPr>
        <w:t>untries and Areas – BOP Basis</w:t>
      </w:r>
      <w:r w:rsidR="00442812" w:rsidRPr="00426B2E">
        <w:rPr>
          <w:rFonts w:ascii="Times New Roman" w:hAnsi="Times New Roman" w:cs="Times New Roman"/>
          <w:szCs w:val="16"/>
        </w:rPr>
        <w:tab/>
      </w:r>
    </w:p>
    <w:p w14:paraId="26643C48" w14:textId="08723609" w:rsidR="001964EE" w:rsidRPr="00426B2E" w:rsidRDefault="00105DB6" w:rsidP="001172C9">
      <w:pPr>
        <w:spacing w:after="0"/>
        <w:ind w:left="-360"/>
        <w:rPr>
          <w:rFonts w:ascii="Times New Roman" w:hAnsi="Times New Roman" w:cs="Times New Roman"/>
          <w:szCs w:val="16"/>
        </w:rPr>
      </w:pPr>
      <w:r w:rsidRPr="00426B2E">
        <w:rPr>
          <w:rFonts w:ascii="Times New Roman" w:hAnsi="Times New Roman" w:cs="Times New Roman"/>
          <w:szCs w:val="16"/>
        </w:rPr>
        <w:t xml:space="preserve">Exhibit </w:t>
      </w:r>
      <w:r w:rsidR="001964EE" w:rsidRPr="00426B2E">
        <w:rPr>
          <w:rFonts w:ascii="Times New Roman" w:hAnsi="Times New Roman" w:cs="Times New Roman"/>
          <w:szCs w:val="16"/>
        </w:rPr>
        <w:t>20a. U.S. Trade in Goods by Selected Co</w:t>
      </w:r>
      <w:r w:rsidR="00442812" w:rsidRPr="00426B2E">
        <w:rPr>
          <w:rFonts w:ascii="Times New Roman" w:hAnsi="Times New Roman" w:cs="Times New Roman"/>
          <w:szCs w:val="16"/>
        </w:rPr>
        <w:t>untries and Areas – BOP Basis</w:t>
      </w:r>
    </w:p>
    <w:p w14:paraId="5A6E042D" w14:textId="6635C914" w:rsidR="001964EE" w:rsidRPr="00426B2E" w:rsidRDefault="00105DB6" w:rsidP="001172C9">
      <w:pPr>
        <w:spacing w:after="0"/>
        <w:ind w:left="-360"/>
        <w:rPr>
          <w:rFonts w:ascii="Times New Roman" w:hAnsi="Times New Roman" w:cs="Times New Roman"/>
          <w:b/>
          <w:sz w:val="16"/>
          <w:szCs w:val="16"/>
        </w:rPr>
      </w:pPr>
      <w:r w:rsidRPr="00426B2E">
        <w:rPr>
          <w:rFonts w:ascii="Times New Roman" w:hAnsi="Times New Roman" w:cs="Times New Roman"/>
          <w:szCs w:val="16"/>
        </w:rPr>
        <w:t xml:space="preserve">Exhibit </w:t>
      </w:r>
      <w:r w:rsidR="001964EE" w:rsidRPr="00426B2E">
        <w:rPr>
          <w:rFonts w:ascii="Times New Roman" w:hAnsi="Times New Roman" w:cs="Times New Roman"/>
          <w:szCs w:val="16"/>
        </w:rPr>
        <w:t>20b. U.S. Trade in Services by S</w:t>
      </w:r>
      <w:r w:rsidR="00442812" w:rsidRPr="00426B2E">
        <w:rPr>
          <w:rFonts w:ascii="Times New Roman" w:hAnsi="Times New Roman" w:cs="Times New Roman"/>
          <w:szCs w:val="16"/>
        </w:rPr>
        <w:t>elected Countries and Areas</w:t>
      </w:r>
    </w:p>
    <w:p w14:paraId="1BE50046" w14:textId="6C39FFC6" w:rsidR="000D454B" w:rsidRDefault="000D454B" w:rsidP="005A5C57">
      <w:pPr>
        <w:ind w:left="-360"/>
        <w:rPr>
          <w:rFonts w:ascii="Times New Roman" w:hAnsi="Times New Roman" w:cs="Times New Roman"/>
          <w:b/>
          <w:sz w:val="16"/>
          <w:szCs w:val="16"/>
        </w:rPr>
      </w:pPr>
    </w:p>
    <w:p w14:paraId="08162CF8" w14:textId="2E965B48" w:rsidR="005E5716" w:rsidRPr="005E5716" w:rsidRDefault="005E5716" w:rsidP="005E5716">
      <w:pPr>
        <w:tabs>
          <w:tab w:val="left" w:pos="-180"/>
        </w:tabs>
        <w:ind w:left="-173" w:hanging="187"/>
        <w:jc w:val="center"/>
        <w:rPr>
          <w:rFonts w:cs="Times New Roman"/>
          <w:sz w:val="24"/>
          <w:szCs w:val="24"/>
        </w:rPr>
      </w:pPr>
      <w:r>
        <w:rPr>
          <w:rFonts w:cs="Times New Roman"/>
          <w:sz w:val="24"/>
          <w:szCs w:val="24"/>
        </w:rPr>
        <w:t>###</w:t>
      </w:r>
    </w:p>
    <w:sectPr w:rsidR="005E5716" w:rsidRPr="005E5716" w:rsidSect="00E7676D">
      <w:type w:val="continuous"/>
      <w:pgSz w:w="12240" w:h="15840"/>
      <w:pgMar w:top="1440" w:right="1080" w:bottom="540" w:left="1080" w:header="720" w:footer="432" w:gutter="0"/>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441">
      <wne:macro wne:macroName="NORMAL.NEWMACROS.PASTE"/>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C988E8" w14:textId="77777777" w:rsidR="00581D7F" w:rsidRDefault="00581D7F" w:rsidP="0023449C">
      <w:pPr>
        <w:spacing w:after="0" w:line="240" w:lineRule="auto"/>
      </w:pPr>
      <w:r>
        <w:separator/>
      </w:r>
    </w:p>
  </w:endnote>
  <w:endnote w:type="continuationSeparator" w:id="0">
    <w:p w14:paraId="4D4F9893" w14:textId="77777777" w:rsidR="00581D7F" w:rsidRDefault="00581D7F" w:rsidP="002344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inionPro-Regular">
    <w:altName w:val="Times New Roman"/>
    <w:charset w:val="00"/>
    <w:family w:val="auto"/>
    <w:pitch w:val="variable"/>
    <w:sig w:usb0="00000001" w:usb1="00000001" w:usb2="0000000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497588" w14:textId="77777777" w:rsidR="00581D7F" w:rsidRDefault="00581D7F">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5324" w:type="pct"/>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41"/>
      <w:gridCol w:w="2220"/>
      <w:gridCol w:w="4239"/>
    </w:tblGrid>
    <w:tr w:rsidR="00581D7F" w:rsidRPr="00C551C0" w14:paraId="49E0E895" w14:textId="77777777" w:rsidTr="00E37CF8">
      <w:trPr>
        <w:jc w:val="center"/>
      </w:trPr>
      <w:tc>
        <w:tcPr>
          <w:tcW w:w="2192" w:type="pct"/>
        </w:tcPr>
        <w:p w14:paraId="7002AE84" w14:textId="77777777" w:rsidR="00581D7F" w:rsidRDefault="00581D7F" w:rsidP="00EA406A">
          <w:pPr>
            <w:rPr>
              <w:rFonts w:cs="Times New Roman"/>
              <w:b/>
              <w:sz w:val="18"/>
              <w:szCs w:val="18"/>
            </w:rPr>
          </w:pPr>
        </w:p>
      </w:tc>
      <w:tc>
        <w:tcPr>
          <w:tcW w:w="965" w:type="pct"/>
          <w:vAlign w:val="bottom"/>
        </w:tcPr>
        <w:p w14:paraId="31EDF444" w14:textId="77777777" w:rsidR="00581D7F" w:rsidRDefault="00581D7F" w:rsidP="00B96748">
          <w:pPr>
            <w:rPr>
              <w:rFonts w:cs="Times New Roman"/>
              <w:b/>
              <w:sz w:val="18"/>
              <w:szCs w:val="18"/>
            </w:rPr>
          </w:pPr>
        </w:p>
      </w:tc>
      <w:tc>
        <w:tcPr>
          <w:tcW w:w="1843" w:type="pct"/>
          <w:vAlign w:val="bottom"/>
        </w:tcPr>
        <w:p w14:paraId="10C0A75A" w14:textId="77777777" w:rsidR="00581D7F" w:rsidRPr="00A966F0" w:rsidRDefault="00581D7F" w:rsidP="00C234A9">
          <w:pPr>
            <w:jc w:val="right"/>
            <w:rPr>
              <w:rFonts w:cs="Times New Roman"/>
              <w:b/>
              <w:sz w:val="18"/>
              <w:szCs w:val="18"/>
            </w:rPr>
          </w:pPr>
        </w:p>
      </w:tc>
    </w:tr>
    <w:tr w:rsidR="00581D7F" w:rsidRPr="00C551C0" w14:paraId="27125277" w14:textId="77777777" w:rsidTr="001172C9">
      <w:trPr>
        <w:jc w:val="center"/>
      </w:trPr>
      <w:tc>
        <w:tcPr>
          <w:tcW w:w="2192" w:type="pct"/>
        </w:tcPr>
        <w:p w14:paraId="57767C8C" w14:textId="2EA63F7D" w:rsidR="00581D7F" w:rsidRPr="00463140" w:rsidRDefault="00581D7F" w:rsidP="00EA406A">
          <w:pPr>
            <w:rPr>
              <w:rFonts w:cs="Times New Roman"/>
              <w:b/>
              <w:sz w:val="18"/>
              <w:szCs w:val="18"/>
            </w:rPr>
          </w:pPr>
          <w:r>
            <w:rPr>
              <w:rFonts w:cs="Times New Roman"/>
              <w:b/>
              <w:sz w:val="18"/>
              <w:szCs w:val="18"/>
            </w:rPr>
            <w:t xml:space="preserve">Goods </w:t>
          </w:r>
          <w:r w:rsidRPr="00463140">
            <w:rPr>
              <w:rFonts w:cs="Times New Roman"/>
              <w:b/>
              <w:sz w:val="18"/>
              <w:szCs w:val="18"/>
            </w:rPr>
            <w:t>Data Inquiries</w:t>
          </w:r>
        </w:p>
      </w:tc>
      <w:tc>
        <w:tcPr>
          <w:tcW w:w="965" w:type="pct"/>
          <w:vAlign w:val="bottom"/>
        </w:tcPr>
        <w:p w14:paraId="172C0564" w14:textId="0DA63EED" w:rsidR="00581D7F" w:rsidRPr="00C551C0" w:rsidRDefault="00581D7F" w:rsidP="00B96748">
          <w:pPr>
            <w:rPr>
              <w:rFonts w:cs="Times New Roman"/>
              <w:b/>
              <w:sz w:val="18"/>
              <w:szCs w:val="18"/>
            </w:rPr>
          </w:pPr>
          <w:r>
            <w:rPr>
              <w:rFonts w:cs="Times New Roman"/>
              <w:b/>
              <w:sz w:val="18"/>
              <w:szCs w:val="18"/>
            </w:rPr>
            <w:t xml:space="preserve">Goods </w:t>
          </w:r>
          <w:r w:rsidRPr="00C551C0">
            <w:rPr>
              <w:rFonts w:cs="Times New Roman"/>
              <w:b/>
              <w:sz w:val="18"/>
              <w:szCs w:val="18"/>
            </w:rPr>
            <w:t>Media Inquiries</w:t>
          </w:r>
        </w:p>
      </w:tc>
      <w:tc>
        <w:tcPr>
          <w:tcW w:w="1843" w:type="pct"/>
          <w:vAlign w:val="bottom"/>
        </w:tcPr>
        <w:p w14:paraId="7794EB43" w14:textId="15C6FA30" w:rsidR="00581D7F" w:rsidRPr="00C551C0" w:rsidRDefault="00581D7F" w:rsidP="00C234A9">
          <w:pPr>
            <w:jc w:val="right"/>
            <w:rPr>
              <w:rFonts w:cs="Times New Roman"/>
              <w:b/>
              <w:sz w:val="18"/>
              <w:szCs w:val="18"/>
            </w:rPr>
          </w:pPr>
          <w:r w:rsidRPr="00A966F0">
            <w:rPr>
              <w:rFonts w:cs="Times New Roman"/>
              <w:b/>
              <w:sz w:val="18"/>
              <w:szCs w:val="18"/>
            </w:rPr>
            <w:t>Service</w:t>
          </w:r>
          <w:r>
            <w:rPr>
              <w:rFonts w:cs="Times New Roman"/>
              <w:b/>
              <w:sz w:val="18"/>
              <w:szCs w:val="18"/>
            </w:rPr>
            <w:t>s</w:t>
          </w:r>
          <w:r w:rsidRPr="00A966F0">
            <w:rPr>
              <w:rFonts w:cs="Times New Roman"/>
              <w:b/>
              <w:sz w:val="18"/>
              <w:szCs w:val="18"/>
            </w:rPr>
            <w:t xml:space="preserve"> Data </w:t>
          </w:r>
          <w:r>
            <w:rPr>
              <w:rFonts w:cs="Times New Roman"/>
              <w:b/>
              <w:sz w:val="18"/>
              <w:szCs w:val="18"/>
            </w:rPr>
            <w:t xml:space="preserve">and Media </w:t>
          </w:r>
          <w:r w:rsidRPr="00A966F0">
            <w:rPr>
              <w:rFonts w:cs="Times New Roman"/>
              <w:b/>
              <w:sz w:val="18"/>
              <w:szCs w:val="18"/>
            </w:rPr>
            <w:t>Inquir</w:t>
          </w:r>
          <w:r>
            <w:rPr>
              <w:rFonts w:cs="Times New Roman"/>
              <w:b/>
              <w:sz w:val="18"/>
              <w:szCs w:val="18"/>
            </w:rPr>
            <w:t>i</w:t>
          </w:r>
          <w:r w:rsidRPr="00A966F0">
            <w:rPr>
              <w:rFonts w:cs="Times New Roman"/>
              <w:b/>
              <w:sz w:val="18"/>
              <w:szCs w:val="18"/>
            </w:rPr>
            <w:t>es</w:t>
          </w:r>
        </w:p>
      </w:tc>
    </w:tr>
    <w:tr w:rsidR="00581D7F" w:rsidRPr="00E578D1" w14:paraId="3851CCCB" w14:textId="77777777" w:rsidTr="001172C9">
      <w:trPr>
        <w:jc w:val="center"/>
      </w:trPr>
      <w:tc>
        <w:tcPr>
          <w:tcW w:w="2192" w:type="pct"/>
        </w:tcPr>
        <w:p w14:paraId="38F42D62" w14:textId="178D3C00" w:rsidR="00581D7F" w:rsidRDefault="00581D7F" w:rsidP="004D508E">
          <w:pPr>
            <w:rPr>
              <w:rFonts w:cs="Times New Roman"/>
              <w:sz w:val="18"/>
              <w:szCs w:val="18"/>
            </w:rPr>
          </w:pPr>
          <w:r>
            <w:rPr>
              <w:rFonts w:cs="Times New Roman"/>
              <w:sz w:val="18"/>
              <w:szCs w:val="18"/>
            </w:rPr>
            <w:t>U.S. Census Bureau</w:t>
          </w:r>
        </w:p>
      </w:tc>
      <w:tc>
        <w:tcPr>
          <w:tcW w:w="965" w:type="pct"/>
          <w:vAlign w:val="bottom"/>
        </w:tcPr>
        <w:p w14:paraId="0A7DD33C" w14:textId="427DA132" w:rsidR="00581D7F" w:rsidRDefault="00581D7F" w:rsidP="00B96748">
          <w:pPr>
            <w:rPr>
              <w:rFonts w:cs="Times New Roman"/>
              <w:sz w:val="18"/>
              <w:szCs w:val="18"/>
            </w:rPr>
          </w:pPr>
          <w:r>
            <w:rPr>
              <w:rFonts w:cs="Times New Roman"/>
              <w:sz w:val="18"/>
              <w:szCs w:val="18"/>
            </w:rPr>
            <w:t>U.S. Census Bureau</w:t>
          </w:r>
        </w:p>
      </w:tc>
      <w:tc>
        <w:tcPr>
          <w:tcW w:w="1843" w:type="pct"/>
          <w:vAlign w:val="bottom"/>
        </w:tcPr>
        <w:p w14:paraId="181D54FB" w14:textId="4791CFA7" w:rsidR="00581D7F" w:rsidRPr="00A966F0" w:rsidRDefault="00581D7F" w:rsidP="00A966F0">
          <w:pPr>
            <w:ind w:left="-79"/>
            <w:jc w:val="right"/>
            <w:rPr>
              <w:rFonts w:cs="Times New Roman"/>
              <w:sz w:val="18"/>
              <w:szCs w:val="18"/>
            </w:rPr>
          </w:pPr>
          <w:r w:rsidRPr="00A966F0">
            <w:rPr>
              <w:rFonts w:cs="Times New Roman"/>
              <w:sz w:val="18"/>
              <w:szCs w:val="18"/>
            </w:rPr>
            <w:t>U.S. Bureau of Economic Analysis</w:t>
          </w:r>
        </w:p>
      </w:tc>
    </w:tr>
    <w:tr w:rsidR="00581D7F" w:rsidRPr="00E578D1" w14:paraId="115A95EE" w14:textId="77777777" w:rsidTr="001172C9">
      <w:trPr>
        <w:jc w:val="center"/>
      </w:trPr>
      <w:tc>
        <w:tcPr>
          <w:tcW w:w="2192" w:type="pct"/>
        </w:tcPr>
        <w:p w14:paraId="352A56A6" w14:textId="3275D50F" w:rsidR="00581D7F" w:rsidRDefault="00581D7F" w:rsidP="004D508E">
          <w:pPr>
            <w:rPr>
              <w:rFonts w:cs="Times New Roman"/>
              <w:sz w:val="18"/>
              <w:szCs w:val="18"/>
            </w:rPr>
          </w:pPr>
          <w:r>
            <w:rPr>
              <w:rFonts w:cs="Times New Roman"/>
              <w:sz w:val="18"/>
              <w:szCs w:val="18"/>
            </w:rPr>
            <w:t>Economic Indicators Division, International Trade</w:t>
          </w:r>
        </w:p>
      </w:tc>
      <w:tc>
        <w:tcPr>
          <w:tcW w:w="965" w:type="pct"/>
          <w:vAlign w:val="bottom"/>
        </w:tcPr>
        <w:p w14:paraId="344ADC0C" w14:textId="4A1A9DDB" w:rsidR="00581D7F" w:rsidRDefault="00581D7F" w:rsidP="00B96748">
          <w:pPr>
            <w:rPr>
              <w:rFonts w:cs="Times New Roman"/>
              <w:sz w:val="18"/>
              <w:szCs w:val="18"/>
            </w:rPr>
          </w:pPr>
          <w:r>
            <w:rPr>
              <w:rFonts w:cs="Times New Roman"/>
              <w:sz w:val="18"/>
              <w:szCs w:val="18"/>
            </w:rPr>
            <w:t>Public Information Office</w:t>
          </w:r>
        </w:p>
      </w:tc>
      <w:tc>
        <w:tcPr>
          <w:tcW w:w="1843" w:type="pct"/>
          <w:vAlign w:val="bottom"/>
        </w:tcPr>
        <w:p w14:paraId="36E8859C" w14:textId="129DA6B0" w:rsidR="00581D7F" w:rsidRPr="00A966F0" w:rsidRDefault="00581D7F" w:rsidP="00A966F0">
          <w:pPr>
            <w:ind w:left="-79"/>
            <w:jc w:val="right"/>
            <w:rPr>
              <w:rFonts w:cs="Times New Roman"/>
              <w:sz w:val="18"/>
              <w:szCs w:val="18"/>
            </w:rPr>
          </w:pPr>
          <w:r w:rsidRPr="00250AB8">
            <w:rPr>
              <w:rFonts w:cs="Times New Roman"/>
              <w:sz w:val="18"/>
              <w:szCs w:val="18"/>
            </w:rPr>
            <w:t>Balance of Payments Division</w:t>
          </w:r>
        </w:p>
      </w:tc>
    </w:tr>
    <w:tr w:rsidR="00581D7F" w:rsidRPr="00E578D1" w14:paraId="4C96D9F0" w14:textId="77777777" w:rsidTr="001172C9">
      <w:trPr>
        <w:jc w:val="center"/>
      </w:trPr>
      <w:tc>
        <w:tcPr>
          <w:tcW w:w="2192" w:type="pct"/>
        </w:tcPr>
        <w:p w14:paraId="5B368049" w14:textId="75EA01CE" w:rsidR="00581D7F" w:rsidRDefault="00581D7F" w:rsidP="004D508E">
          <w:pPr>
            <w:rPr>
              <w:rFonts w:cs="Times New Roman"/>
              <w:sz w:val="18"/>
              <w:szCs w:val="18"/>
            </w:rPr>
          </w:pPr>
          <w:r>
            <w:rPr>
              <w:rFonts w:cs="Times New Roman"/>
              <w:sz w:val="18"/>
              <w:szCs w:val="18"/>
            </w:rPr>
            <w:t>301-</w:t>
          </w:r>
          <w:r w:rsidRPr="0014744E">
            <w:rPr>
              <w:rFonts w:cs="Times New Roman"/>
              <w:sz w:val="18"/>
              <w:szCs w:val="18"/>
            </w:rPr>
            <w:t>763-2311</w:t>
          </w:r>
        </w:p>
      </w:tc>
      <w:tc>
        <w:tcPr>
          <w:tcW w:w="965" w:type="pct"/>
          <w:vAlign w:val="bottom"/>
        </w:tcPr>
        <w:p w14:paraId="54E44C88" w14:textId="6416AC74" w:rsidR="00581D7F" w:rsidRDefault="00581D7F" w:rsidP="00B96748">
          <w:pPr>
            <w:rPr>
              <w:rFonts w:cs="Times New Roman"/>
              <w:sz w:val="18"/>
              <w:szCs w:val="18"/>
            </w:rPr>
          </w:pPr>
          <w:r>
            <w:rPr>
              <w:rFonts w:cs="Times New Roman"/>
              <w:sz w:val="18"/>
              <w:szCs w:val="18"/>
            </w:rPr>
            <w:t>301-763-3030</w:t>
          </w:r>
        </w:p>
      </w:tc>
      <w:tc>
        <w:tcPr>
          <w:tcW w:w="1843" w:type="pct"/>
          <w:vAlign w:val="bottom"/>
        </w:tcPr>
        <w:p w14:paraId="5558D958" w14:textId="63D9E385" w:rsidR="00581D7F" w:rsidRPr="00A966F0" w:rsidRDefault="00581D7F" w:rsidP="00A966F0">
          <w:pPr>
            <w:ind w:left="-79"/>
            <w:jc w:val="right"/>
            <w:rPr>
              <w:rFonts w:cs="Times New Roman"/>
              <w:sz w:val="18"/>
              <w:szCs w:val="18"/>
            </w:rPr>
          </w:pPr>
          <w:r w:rsidRPr="00250AB8">
            <w:rPr>
              <w:sz w:val="18"/>
            </w:rPr>
            <w:t xml:space="preserve">Data: </w:t>
          </w:r>
          <w:r w:rsidRPr="007812D0">
            <w:rPr>
              <w:sz w:val="18"/>
            </w:rPr>
            <w:t>301-278-9559</w:t>
          </w:r>
        </w:p>
      </w:tc>
    </w:tr>
    <w:tr w:rsidR="00581D7F" w:rsidRPr="00E578D1" w14:paraId="55AECFB5" w14:textId="77777777" w:rsidTr="001172C9">
      <w:trPr>
        <w:jc w:val="center"/>
      </w:trPr>
      <w:tc>
        <w:tcPr>
          <w:tcW w:w="2192" w:type="pct"/>
        </w:tcPr>
        <w:p w14:paraId="5233A547" w14:textId="693D5055" w:rsidR="00581D7F" w:rsidRDefault="00147210" w:rsidP="004D508E">
          <w:pPr>
            <w:rPr>
              <w:rFonts w:cs="Times New Roman"/>
              <w:sz w:val="18"/>
              <w:szCs w:val="18"/>
            </w:rPr>
          </w:pPr>
          <w:hyperlink r:id="rId1" w:history="1">
            <w:r w:rsidR="00581D7F" w:rsidRPr="00882BC0">
              <w:rPr>
                <w:rStyle w:val="Hyperlink"/>
                <w:sz w:val="18"/>
                <w:szCs w:val="18"/>
                <w:u w:val="none"/>
              </w:rPr>
              <w:t>eid.international.trade.data@census.gov</w:t>
            </w:r>
          </w:hyperlink>
        </w:p>
      </w:tc>
      <w:tc>
        <w:tcPr>
          <w:tcW w:w="965" w:type="pct"/>
          <w:vAlign w:val="bottom"/>
        </w:tcPr>
        <w:p w14:paraId="22586D83" w14:textId="47DA6192" w:rsidR="00581D7F" w:rsidRDefault="00147210" w:rsidP="00B96748">
          <w:pPr>
            <w:rPr>
              <w:rFonts w:cs="Times New Roman"/>
              <w:sz w:val="18"/>
              <w:szCs w:val="18"/>
            </w:rPr>
          </w:pPr>
          <w:hyperlink r:id="rId2" w:history="1">
            <w:r w:rsidR="00581D7F">
              <w:rPr>
                <w:rStyle w:val="Hyperlink"/>
                <w:rFonts w:cs="Times New Roman"/>
                <w:sz w:val="18"/>
                <w:szCs w:val="18"/>
                <w:u w:val="none"/>
              </w:rPr>
              <w:t>pio@census.gov</w:t>
            </w:r>
          </w:hyperlink>
        </w:p>
      </w:tc>
      <w:tc>
        <w:tcPr>
          <w:tcW w:w="1843" w:type="pct"/>
          <w:vAlign w:val="bottom"/>
        </w:tcPr>
        <w:p w14:paraId="356DF077" w14:textId="4727AF85" w:rsidR="00581D7F" w:rsidRPr="00A966F0" w:rsidRDefault="00581D7F" w:rsidP="00A966F0">
          <w:pPr>
            <w:ind w:left="-79"/>
            <w:jc w:val="right"/>
            <w:rPr>
              <w:rFonts w:cs="Times New Roman"/>
              <w:sz w:val="18"/>
              <w:szCs w:val="18"/>
            </w:rPr>
          </w:pPr>
          <w:r w:rsidRPr="00250AB8">
            <w:rPr>
              <w:sz w:val="18"/>
              <w:szCs w:val="18"/>
            </w:rPr>
            <w:t>Media: 301-278-9003</w:t>
          </w:r>
        </w:p>
      </w:tc>
    </w:tr>
    <w:tr w:rsidR="00581D7F" w:rsidRPr="00E578D1" w14:paraId="7404CEC0" w14:textId="77777777" w:rsidTr="001172C9">
      <w:trPr>
        <w:jc w:val="center"/>
      </w:trPr>
      <w:tc>
        <w:tcPr>
          <w:tcW w:w="2192" w:type="pct"/>
        </w:tcPr>
        <w:p w14:paraId="04F27314" w14:textId="034D1349" w:rsidR="00581D7F" w:rsidRPr="00E578D1" w:rsidRDefault="00581D7F" w:rsidP="004D508E">
          <w:pPr>
            <w:rPr>
              <w:sz w:val="18"/>
              <w:szCs w:val="18"/>
            </w:rPr>
          </w:pPr>
        </w:p>
      </w:tc>
      <w:tc>
        <w:tcPr>
          <w:tcW w:w="965" w:type="pct"/>
          <w:vAlign w:val="bottom"/>
        </w:tcPr>
        <w:p w14:paraId="7D94A392" w14:textId="11818851" w:rsidR="00581D7F" w:rsidRDefault="00581D7F" w:rsidP="00B96748">
          <w:pPr>
            <w:rPr>
              <w:rFonts w:cs="Times New Roman"/>
              <w:sz w:val="18"/>
              <w:szCs w:val="18"/>
            </w:rPr>
          </w:pPr>
        </w:p>
      </w:tc>
      <w:tc>
        <w:tcPr>
          <w:tcW w:w="1843" w:type="pct"/>
          <w:vAlign w:val="bottom"/>
        </w:tcPr>
        <w:p w14:paraId="6435838E" w14:textId="3934DE10" w:rsidR="00581D7F" w:rsidRPr="00E578D1" w:rsidRDefault="00147210" w:rsidP="00A966F0">
          <w:pPr>
            <w:ind w:left="-79"/>
            <w:jc w:val="right"/>
            <w:rPr>
              <w:sz w:val="18"/>
              <w:szCs w:val="18"/>
            </w:rPr>
          </w:pPr>
          <w:hyperlink r:id="rId3" w:history="1">
            <w:r w:rsidR="00581D7F" w:rsidRPr="00424FDA">
              <w:rPr>
                <w:rStyle w:val="Hyperlink"/>
                <w:sz w:val="18"/>
                <w:u w:val="none"/>
              </w:rPr>
              <w:t>InternationalAccounts@bea.gov</w:t>
            </w:r>
          </w:hyperlink>
        </w:p>
      </w:tc>
    </w:tr>
    <w:tr w:rsidR="00581D7F" w14:paraId="240E1050" w14:textId="77777777" w:rsidTr="001172C9">
      <w:trPr>
        <w:jc w:val="center"/>
      </w:trPr>
      <w:tc>
        <w:tcPr>
          <w:tcW w:w="2192" w:type="pct"/>
        </w:tcPr>
        <w:p w14:paraId="799120ED" w14:textId="77777777" w:rsidR="00581D7F" w:rsidRDefault="00581D7F" w:rsidP="00C41BBB">
          <w:pPr>
            <w:rPr>
              <w:rFonts w:cs="Times New Roman"/>
              <w:sz w:val="18"/>
              <w:szCs w:val="18"/>
            </w:rPr>
          </w:pPr>
        </w:p>
      </w:tc>
      <w:tc>
        <w:tcPr>
          <w:tcW w:w="965" w:type="pct"/>
        </w:tcPr>
        <w:p w14:paraId="6DB2083F" w14:textId="3F5FF8F7" w:rsidR="00581D7F" w:rsidRPr="00C234A9" w:rsidRDefault="00581D7F" w:rsidP="00B96748"/>
      </w:tc>
      <w:tc>
        <w:tcPr>
          <w:tcW w:w="1843" w:type="pct"/>
        </w:tcPr>
        <w:p w14:paraId="4FA9116B" w14:textId="4DBBEADD" w:rsidR="00581D7F" w:rsidRDefault="00581D7F" w:rsidP="001F211F">
          <w:pPr>
            <w:jc w:val="right"/>
          </w:pPr>
        </w:p>
      </w:tc>
    </w:tr>
    <w:tr w:rsidR="00581D7F" w:rsidRPr="00C551C0" w14:paraId="1C1E3BC8" w14:textId="77777777" w:rsidTr="001172C9">
      <w:trPr>
        <w:jc w:val="center"/>
      </w:trPr>
      <w:tc>
        <w:tcPr>
          <w:tcW w:w="2192" w:type="pct"/>
        </w:tcPr>
        <w:p w14:paraId="4A9489C1" w14:textId="76A45E0F" w:rsidR="00581D7F" w:rsidRDefault="00581D7F" w:rsidP="001F211F">
          <w:pPr>
            <w:rPr>
              <w:rFonts w:cs="Times New Roman"/>
              <w:sz w:val="18"/>
              <w:szCs w:val="18"/>
            </w:rPr>
          </w:pPr>
          <w:r>
            <w:rPr>
              <w:noProof/>
            </w:rPr>
            <w:drawing>
              <wp:inline distT="0" distB="0" distL="0" distR="0" wp14:anchorId="4EE8173C" wp14:editId="1AB96E6C">
                <wp:extent cx="2909320" cy="419100"/>
                <wp:effectExtent l="0" t="0" r="5715"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4" cstate="print">
                          <a:extLst>
                            <a:ext uri="{28A0092B-C50C-407E-A947-70E740481C1C}">
                              <a14:useLocalDpi xmlns:a14="http://schemas.microsoft.com/office/drawing/2010/main" val="0"/>
                            </a:ext>
                          </a:extLst>
                        </a:blip>
                        <a:stretch>
                          <a:fillRect/>
                        </a:stretch>
                      </pic:blipFill>
                      <pic:spPr>
                        <a:xfrm>
                          <a:off x="0" y="0"/>
                          <a:ext cx="2909320" cy="419100"/>
                        </a:xfrm>
                        <a:prstGeom prst="rect">
                          <a:avLst/>
                        </a:prstGeom>
                      </pic:spPr>
                    </pic:pic>
                  </a:graphicData>
                </a:graphic>
              </wp:inline>
            </w:drawing>
          </w:r>
        </w:p>
      </w:tc>
      <w:tc>
        <w:tcPr>
          <w:tcW w:w="965" w:type="pct"/>
        </w:tcPr>
        <w:p w14:paraId="501DB3FC" w14:textId="77777777" w:rsidR="00581D7F" w:rsidRDefault="00581D7F" w:rsidP="000E3C66">
          <w:pPr>
            <w:rPr>
              <w:b/>
              <w:i/>
              <w:noProof/>
              <w:sz w:val="18"/>
              <w:szCs w:val="18"/>
            </w:rPr>
          </w:pPr>
        </w:p>
      </w:tc>
      <w:tc>
        <w:tcPr>
          <w:tcW w:w="1843" w:type="pct"/>
          <w:vAlign w:val="bottom"/>
        </w:tcPr>
        <w:p w14:paraId="3F758FE6" w14:textId="2FF80408" w:rsidR="00581D7F" w:rsidRPr="000E3C66" w:rsidRDefault="00581D7F" w:rsidP="00C17602">
          <w:pPr>
            <w:jc w:val="right"/>
            <w:rPr>
              <w:b/>
              <w:i/>
              <w:sz w:val="18"/>
              <w:szCs w:val="18"/>
            </w:rPr>
          </w:pPr>
          <w:r>
            <w:rPr>
              <w:b/>
              <w:i/>
              <w:noProof/>
              <w:sz w:val="18"/>
              <w:szCs w:val="18"/>
            </w:rPr>
            <w:drawing>
              <wp:inline distT="0" distB="0" distL="0" distR="0" wp14:anchorId="58BF72F5" wp14:editId="43AA08DB">
                <wp:extent cx="2228850" cy="247650"/>
                <wp:effectExtent l="0" t="0" r="0" b="0"/>
                <wp:docPr id="10" name="Picture 10" descr="C:\Users\Bpbpk1\AppData\Local\Microsoft\Windows\Temporary Internet Files\Content.IE5\Q42I5WB6\BEA-H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Bpbpk1\AppData\Local\Microsoft\Windows\Temporary Internet Files\Content.IE5\Q42I5WB6\BEA-HLogo.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2228850" cy="247650"/>
                        </a:xfrm>
                        <a:prstGeom prst="rect">
                          <a:avLst/>
                        </a:prstGeom>
                        <a:noFill/>
                        <a:ln>
                          <a:noFill/>
                        </a:ln>
                      </pic:spPr>
                    </pic:pic>
                  </a:graphicData>
                </a:graphic>
              </wp:inline>
            </w:drawing>
          </w:r>
        </w:p>
      </w:tc>
    </w:tr>
  </w:tbl>
  <w:p w14:paraId="55A382D8" w14:textId="067BE03D" w:rsidR="00581D7F" w:rsidRPr="00CF0CF5" w:rsidRDefault="00581D7F" w:rsidP="00A37583">
    <w:pPr>
      <w:pStyle w:val="Footer"/>
      <w:rPr>
        <w:sz w:val="18"/>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C6AC30" w14:textId="77777777" w:rsidR="00581D7F" w:rsidRDefault="00581D7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8554E0" w14:textId="77777777" w:rsidR="00581D7F" w:rsidRDefault="00581D7F" w:rsidP="0023449C">
      <w:pPr>
        <w:spacing w:after="0" w:line="240" w:lineRule="auto"/>
      </w:pPr>
      <w:r>
        <w:separator/>
      </w:r>
    </w:p>
  </w:footnote>
  <w:footnote w:type="continuationSeparator" w:id="0">
    <w:p w14:paraId="359BAFCA" w14:textId="77777777" w:rsidR="00581D7F" w:rsidRDefault="00581D7F" w:rsidP="0023449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AEE37C" w14:textId="77777777" w:rsidR="00581D7F" w:rsidRDefault="00581D7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DA6FDB" w14:textId="77777777" w:rsidR="00581D7F" w:rsidRDefault="00581D7F">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998752" w14:textId="77777777" w:rsidR="00581D7F" w:rsidRDefault="00581D7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8317D"/>
    <w:multiLevelType w:val="hybridMultilevel"/>
    <w:tmpl w:val="7F42A13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02E36F50"/>
    <w:multiLevelType w:val="hybridMultilevel"/>
    <w:tmpl w:val="315876E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EDD6F63"/>
    <w:multiLevelType w:val="hybridMultilevel"/>
    <w:tmpl w:val="E1A4FE0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35D1911"/>
    <w:multiLevelType w:val="multilevel"/>
    <w:tmpl w:val="C4F2FA16"/>
    <w:styleLink w:val="Style1"/>
    <w:lvl w:ilvl="0">
      <w:start w:val="1"/>
      <w:numFmt w:val="bullet"/>
      <w:lvlText w:val=""/>
      <w:lvlJc w:val="left"/>
      <w:pPr>
        <w:ind w:left="360" w:hanging="360"/>
      </w:pPr>
      <w:rPr>
        <w:rFonts w:ascii="Symbol" w:hAnsi="Symbol" w:hint="default"/>
        <w:sz w:val="20"/>
        <w:szCs w:val="20"/>
      </w:rPr>
    </w:lvl>
    <w:lvl w:ilvl="1">
      <w:start w:val="1"/>
      <w:numFmt w:val="bullet"/>
      <w:lvlText w:val=""/>
      <w:lvlJc w:val="left"/>
      <w:pPr>
        <w:ind w:left="1080" w:hanging="360"/>
      </w:pPr>
      <w:rPr>
        <w:rFonts w:ascii="Symbol" w:hAnsi="Symbol" w:hint="default"/>
      </w:rPr>
    </w:lvl>
    <w:lvl w:ilvl="2">
      <w:start w:val="1"/>
      <w:numFmt w:val="bullet"/>
      <w:lvlText w:val="o"/>
      <w:lvlJc w:val="left"/>
      <w:pPr>
        <w:ind w:left="1800" w:hanging="360"/>
      </w:pPr>
      <w:rPr>
        <w:rFonts w:ascii="Courier New" w:hAnsi="Courier New" w:cs="Courier New" w:hint="default"/>
      </w:rPr>
    </w:lvl>
    <w:lvl w:ilvl="3">
      <w:start w:val="1"/>
      <w:numFmt w:val="bullet"/>
      <w:lvlText w:val=""/>
      <w:lvlJc w:val="left"/>
      <w:pPr>
        <w:ind w:left="2520" w:hanging="360"/>
      </w:pPr>
      <w:rPr>
        <w:rFonts w:ascii="Symbol" w:hAnsi="Symbol" w:hint="default"/>
      </w:rPr>
    </w:lvl>
    <w:lvl w:ilvl="4">
      <w:start w:val="1"/>
      <w:numFmt w:val="bullet"/>
      <w:lvlText w:val="o"/>
      <w:lvlJc w:val="left"/>
      <w:pPr>
        <w:ind w:left="3240" w:hanging="360"/>
      </w:pPr>
      <w:rPr>
        <w:rFonts w:ascii="Courier New" w:hAnsi="Courier New" w:cs="Courier New" w:hint="default"/>
      </w:rPr>
    </w:lvl>
    <w:lvl w:ilvl="5">
      <w:start w:val="1"/>
      <w:numFmt w:val="bullet"/>
      <w:lvlText w:val=""/>
      <w:lvlJc w:val="left"/>
      <w:pPr>
        <w:ind w:left="3960" w:hanging="360"/>
      </w:pPr>
      <w:rPr>
        <w:rFonts w:ascii="Wingdings" w:hAnsi="Wingdings" w:hint="default"/>
      </w:rPr>
    </w:lvl>
    <w:lvl w:ilvl="6">
      <w:start w:val="1"/>
      <w:numFmt w:val="bullet"/>
      <w:lvlText w:val=""/>
      <w:lvlJc w:val="left"/>
      <w:pPr>
        <w:ind w:left="4680" w:hanging="360"/>
      </w:pPr>
      <w:rPr>
        <w:rFonts w:ascii="Symbol" w:hAnsi="Symbol" w:hint="default"/>
      </w:rPr>
    </w:lvl>
    <w:lvl w:ilvl="7">
      <w:start w:val="1"/>
      <w:numFmt w:val="bullet"/>
      <w:lvlText w:val="o"/>
      <w:lvlJc w:val="left"/>
      <w:pPr>
        <w:ind w:left="5400" w:hanging="360"/>
      </w:pPr>
      <w:rPr>
        <w:rFonts w:ascii="Courier New" w:hAnsi="Courier New" w:cs="Courier New" w:hint="default"/>
      </w:rPr>
    </w:lvl>
    <w:lvl w:ilvl="8">
      <w:start w:val="1"/>
      <w:numFmt w:val="bullet"/>
      <w:lvlText w:val=""/>
      <w:lvlJc w:val="left"/>
      <w:pPr>
        <w:ind w:left="6120" w:hanging="360"/>
      </w:pPr>
      <w:rPr>
        <w:rFonts w:ascii="Wingdings" w:hAnsi="Wingdings" w:hint="default"/>
      </w:rPr>
    </w:lvl>
  </w:abstractNum>
  <w:abstractNum w:abstractNumId="4" w15:restartNumberingAfterBreak="0">
    <w:nsid w:val="15017107"/>
    <w:multiLevelType w:val="hybridMultilevel"/>
    <w:tmpl w:val="E6D86C6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64342E7"/>
    <w:multiLevelType w:val="hybridMultilevel"/>
    <w:tmpl w:val="E5D8264C"/>
    <w:lvl w:ilvl="0" w:tplc="04090001">
      <w:start w:val="1"/>
      <w:numFmt w:val="bullet"/>
      <w:lvlText w:val=""/>
      <w:lvlJc w:val="left"/>
      <w:pPr>
        <w:ind w:left="1080" w:hanging="360"/>
      </w:pPr>
      <w:rPr>
        <w:rFonts w:ascii="Symbol" w:hAnsi="Symbol" w:hint="default"/>
      </w:rPr>
    </w:lvl>
    <w:lvl w:ilvl="1" w:tplc="40BA8CAA">
      <w:numFmt w:val="bullet"/>
      <w:lvlText w:val="•"/>
      <w:lvlJc w:val="left"/>
      <w:pPr>
        <w:ind w:left="1800" w:hanging="360"/>
      </w:pPr>
      <w:rPr>
        <w:rFonts w:ascii="Times New Roman" w:eastAsiaTheme="minorHAnsi" w:hAnsi="Times New Roman" w:cs="Times New Roman"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172649F4"/>
    <w:multiLevelType w:val="hybridMultilevel"/>
    <w:tmpl w:val="402AE7D2"/>
    <w:lvl w:ilvl="0" w:tplc="5D785946">
      <w:start w:val="1"/>
      <w:numFmt w:val="bullet"/>
      <w:lvlText w:val=""/>
      <w:lvlJc w:val="left"/>
      <w:pPr>
        <w:ind w:left="576" w:hanging="360"/>
      </w:pPr>
      <w:rPr>
        <w:rFonts w:ascii="Symbol" w:hAnsi="Symbol" w:hint="default"/>
        <w:sz w:val="18"/>
      </w:rPr>
    </w:lvl>
    <w:lvl w:ilvl="1" w:tplc="E9389EBA">
      <w:numFmt w:val="bullet"/>
      <w:lvlText w:val="•"/>
      <w:lvlJc w:val="left"/>
      <w:pPr>
        <w:ind w:left="1296" w:hanging="360"/>
      </w:pPr>
      <w:rPr>
        <w:rFonts w:ascii="Times New Roman" w:eastAsia="Times New Roman" w:hAnsi="Times New Roman" w:cs="Times New Roman" w:hint="default"/>
      </w:rPr>
    </w:lvl>
    <w:lvl w:ilvl="2" w:tplc="040C0005" w:tentative="1">
      <w:start w:val="1"/>
      <w:numFmt w:val="bullet"/>
      <w:lvlText w:val=""/>
      <w:lvlJc w:val="left"/>
      <w:pPr>
        <w:ind w:left="2016" w:hanging="360"/>
      </w:pPr>
      <w:rPr>
        <w:rFonts w:ascii="Wingdings" w:hAnsi="Wingdings" w:hint="default"/>
      </w:rPr>
    </w:lvl>
    <w:lvl w:ilvl="3" w:tplc="040C0001" w:tentative="1">
      <w:start w:val="1"/>
      <w:numFmt w:val="bullet"/>
      <w:lvlText w:val=""/>
      <w:lvlJc w:val="left"/>
      <w:pPr>
        <w:ind w:left="2736" w:hanging="360"/>
      </w:pPr>
      <w:rPr>
        <w:rFonts w:ascii="Symbol" w:hAnsi="Symbol" w:hint="default"/>
      </w:rPr>
    </w:lvl>
    <w:lvl w:ilvl="4" w:tplc="040C0003" w:tentative="1">
      <w:start w:val="1"/>
      <w:numFmt w:val="bullet"/>
      <w:lvlText w:val="o"/>
      <w:lvlJc w:val="left"/>
      <w:pPr>
        <w:ind w:left="3456" w:hanging="360"/>
      </w:pPr>
      <w:rPr>
        <w:rFonts w:ascii="Courier New" w:hAnsi="Courier New" w:cs="Courier New" w:hint="default"/>
      </w:rPr>
    </w:lvl>
    <w:lvl w:ilvl="5" w:tplc="040C0005" w:tentative="1">
      <w:start w:val="1"/>
      <w:numFmt w:val="bullet"/>
      <w:lvlText w:val=""/>
      <w:lvlJc w:val="left"/>
      <w:pPr>
        <w:ind w:left="4176" w:hanging="360"/>
      </w:pPr>
      <w:rPr>
        <w:rFonts w:ascii="Wingdings" w:hAnsi="Wingdings" w:hint="default"/>
      </w:rPr>
    </w:lvl>
    <w:lvl w:ilvl="6" w:tplc="040C0001" w:tentative="1">
      <w:start w:val="1"/>
      <w:numFmt w:val="bullet"/>
      <w:lvlText w:val=""/>
      <w:lvlJc w:val="left"/>
      <w:pPr>
        <w:ind w:left="4896" w:hanging="360"/>
      </w:pPr>
      <w:rPr>
        <w:rFonts w:ascii="Symbol" w:hAnsi="Symbol" w:hint="default"/>
      </w:rPr>
    </w:lvl>
    <w:lvl w:ilvl="7" w:tplc="040C0003" w:tentative="1">
      <w:start w:val="1"/>
      <w:numFmt w:val="bullet"/>
      <w:lvlText w:val="o"/>
      <w:lvlJc w:val="left"/>
      <w:pPr>
        <w:ind w:left="5616" w:hanging="360"/>
      </w:pPr>
      <w:rPr>
        <w:rFonts w:ascii="Courier New" w:hAnsi="Courier New" w:cs="Courier New" w:hint="default"/>
      </w:rPr>
    </w:lvl>
    <w:lvl w:ilvl="8" w:tplc="040C0005" w:tentative="1">
      <w:start w:val="1"/>
      <w:numFmt w:val="bullet"/>
      <w:lvlText w:val=""/>
      <w:lvlJc w:val="left"/>
      <w:pPr>
        <w:ind w:left="6336" w:hanging="360"/>
      </w:pPr>
      <w:rPr>
        <w:rFonts w:ascii="Wingdings" w:hAnsi="Wingdings" w:hint="default"/>
      </w:rPr>
    </w:lvl>
  </w:abstractNum>
  <w:abstractNum w:abstractNumId="7" w15:restartNumberingAfterBreak="0">
    <w:nsid w:val="249055F4"/>
    <w:multiLevelType w:val="hybridMultilevel"/>
    <w:tmpl w:val="944C9DDA"/>
    <w:lvl w:ilvl="0" w:tplc="96EEB632">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0847D00"/>
    <w:multiLevelType w:val="hybridMultilevel"/>
    <w:tmpl w:val="65AE43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39C21887"/>
    <w:multiLevelType w:val="hybridMultilevel"/>
    <w:tmpl w:val="9AE25998"/>
    <w:lvl w:ilvl="0" w:tplc="2F2633BE">
      <w:start w:val="1"/>
      <w:numFmt w:val="bullet"/>
      <w:lvlText w:val=""/>
      <w:lvlJc w:val="left"/>
      <w:pPr>
        <w:ind w:left="360" w:hanging="360"/>
      </w:pPr>
      <w:rPr>
        <w:rFonts w:ascii="Symbol" w:hAnsi="Symbol" w:hint="default"/>
        <w:sz w:val="20"/>
        <w:szCs w:val="20"/>
      </w:rPr>
    </w:lvl>
    <w:lvl w:ilvl="1" w:tplc="04090001">
      <w:start w:val="1"/>
      <w:numFmt w:val="bullet"/>
      <w:lvlText w:val=""/>
      <w:lvlJc w:val="left"/>
      <w:pPr>
        <w:ind w:left="1080" w:hanging="360"/>
      </w:pPr>
      <w:rPr>
        <w:rFonts w:ascii="Symbol" w:hAnsi="Symbol" w:hint="default"/>
      </w:rPr>
    </w:lvl>
    <w:lvl w:ilvl="2" w:tplc="04090003">
      <w:start w:val="1"/>
      <w:numFmt w:val="bullet"/>
      <w:lvlText w:val="o"/>
      <w:lvlJc w:val="left"/>
      <w:pPr>
        <w:ind w:left="1800" w:hanging="360"/>
      </w:pPr>
      <w:rPr>
        <w:rFonts w:ascii="Courier New" w:hAnsi="Courier New" w:cs="Courier New"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45C30511"/>
    <w:multiLevelType w:val="hybridMultilevel"/>
    <w:tmpl w:val="2E60846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15:restartNumberingAfterBreak="0">
    <w:nsid w:val="4B646D1E"/>
    <w:multiLevelType w:val="hybridMultilevel"/>
    <w:tmpl w:val="C99E6CE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4B9C5905"/>
    <w:multiLevelType w:val="hybridMultilevel"/>
    <w:tmpl w:val="37C4D184"/>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4D6C6C31"/>
    <w:multiLevelType w:val="hybridMultilevel"/>
    <w:tmpl w:val="A9824C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51EF05AA"/>
    <w:multiLevelType w:val="hybridMultilevel"/>
    <w:tmpl w:val="F15CEC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53633665"/>
    <w:multiLevelType w:val="hybridMultilevel"/>
    <w:tmpl w:val="33B2C2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67B77FD"/>
    <w:multiLevelType w:val="hybridMultilevel"/>
    <w:tmpl w:val="D360A10C"/>
    <w:lvl w:ilvl="0" w:tplc="96EEB632">
      <w:start w:val="1"/>
      <w:numFmt w:val="bullet"/>
      <w:lvlText w:val=""/>
      <w:lvlJc w:val="left"/>
      <w:pPr>
        <w:ind w:left="720" w:hanging="360"/>
      </w:pPr>
      <w:rPr>
        <w:rFonts w:ascii="Symbol" w:hAnsi="Symbol" w:hint="default"/>
        <w:sz w:val="1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1960122"/>
    <w:multiLevelType w:val="multilevel"/>
    <w:tmpl w:val="C4F2FA16"/>
    <w:numStyleLink w:val="Style1"/>
  </w:abstractNum>
  <w:abstractNum w:abstractNumId="18" w15:restartNumberingAfterBreak="0">
    <w:nsid w:val="6822212E"/>
    <w:multiLevelType w:val="hybridMultilevel"/>
    <w:tmpl w:val="0DBADCA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3"/>
  </w:num>
  <w:num w:numId="2">
    <w:abstractNumId w:val="8"/>
  </w:num>
  <w:num w:numId="3">
    <w:abstractNumId w:val="9"/>
  </w:num>
  <w:num w:numId="4">
    <w:abstractNumId w:val="3"/>
  </w:num>
  <w:num w:numId="5">
    <w:abstractNumId w:val="17"/>
  </w:num>
  <w:num w:numId="6">
    <w:abstractNumId w:val="4"/>
  </w:num>
  <w:num w:numId="7">
    <w:abstractNumId w:val="0"/>
  </w:num>
  <w:num w:numId="8">
    <w:abstractNumId w:val="12"/>
  </w:num>
  <w:num w:numId="9">
    <w:abstractNumId w:val="11"/>
  </w:num>
  <w:num w:numId="10">
    <w:abstractNumId w:val="5"/>
  </w:num>
  <w:num w:numId="11">
    <w:abstractNumId w:val="1"/>
  </w:num>
  <w:num w:numId="12">
    <w:abstractNumId w:val="2"/>
  </w:num>
  <w:num w:numId="13">
    <w:abstractNumId w:val="14"/>
  </w:num>
  <w:num w:numId="14">
    <w:abstractNumId w:val="18"/>
  </w:num>
  <w:num w:numId="15">
    <w:abstractNumId w:val="10"/>
  </w:num>
  <w:num w:numId="16">
    <w:abstractNumId w:val="15"/>
  </w:num>
  <w:num w:numId="17">
    <w:abstractNumId w:val="7"/>
  </w:num>
  <w:num w:numId="18">
    <w:abstractNumId w:val="16"/>
  </w:num>
  <w:num w:numId="1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1269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AMO_ReportControlsVisible" w:val="Empty"/>
    <w:docVar w:name="SV_QUERY_LIST_4F35BF76-6C0D-4D9B-82B2-816C12CF3733" w:val="empty_477D106A-C0D6-4607-AEBD-E2C9D60EA279"/>
  </w:docVars>
  <w:rsids>
    <w:rsidRoot w:val="00DA5A25"/>
    <w:rsid w:val="0000159A"/>
    <w:rsid w:val="00003BE9"/>
    <w:rsid w:val="00005371"/>
    <w:rsid w:val="00005637"/>
    <w:rsid w:val="000062F5"/>
    <w:rsid w:val="000065B4"/>
    <w:rsid w:val="00006D15"/>
    <w:rsid w:val="000101A8"/>
    <w:rsid w:val="00011F07"/>
    <w:rsid w:val="000136C3"/>
    <w:rsid w:val="00013842"/>
    <w:rsid w:val="00015C89"/>
    <w:rsid w:val="0001653D"/>
    <w:rsid w:val="0002062C"/>
    <w:rsid w:val="00020E47"/>
    <w:rsid w:val="00022EA5"/>
    <w:rsid w:val="000269B6"/>
    <w:rsid w:val="00026C37"/>
    <w:rsid w:val="00027715"/>
    <w:rsid w:val="00034B00"/>
    <w:rsid w:val="00035B89"/>
    <w:rsid w:val="00037355"/>
    <w:rsid w:val="00042C67"/>
    <w:rsid w:val="00046491"/>
    <w:rsid w:val="00046797"/>
    <w:rsid w:val="00052425"/>
    <w:rsid w:val="00053B6C"/>
    <w:rsid w:val="00054CE9"/>
    <w:rsid w:val="000632AF"/>
    <w:rsid w:val="000652A6"/>
    <w:rsid w:val="00065DC8"/>
    <w:rsid w:val="0007066F"/>
    <w:rsid w:val="00071CE7"/>
    <w:rsid w:val="000720EF"/>
    <w:rsid w:val="00072F0E"/>
    <w:rsid w:val="00072F87"/>
    <w:rsid w:val="00074C37"/>
    <w:rsid w:val="000750A9"/>
    <w:rsid w:val="00075659"/>
    <w:rsid w:val="000769B4"/>
    <w:rsid w:val="00077ED7"/>
    <w:rsid w:val="0008176D"/>
    <w:rsid w:val="00082814"/>
    <w:rsid w:val="00085A1D"/>
    <w:rsid w:val="00086A28"/>
    <w:rsid w:val="00087651"/>
    <w:rsid w:val="000920D4"/>
    <w:rsid w:val="000922FD"/>
    <w:rsid w:val="000946FE"/>
    <w:rsid w:val="000952FC"/>
    <w:rsid w:val="000A70DF"/>
    <w:rsid w:val="000B2065"/>
    <w:rsid w:val="000C0B5C"/>
    <w:rsid w:val="000C45B7"/>
    <w:rsid w:val="000D0FC8"/>
    <w:rsid w:val="000D454B"/>
    <w:rsid w:val="000D4BD7"/>
    <w:rsid w:val="000D6495"/>
    <w:rsid w:val="000E3C66"/>
    <w:rsid w:val="000E7B18"/>
    <w:rsid w:val="000E7B89"/>
    <w:rsid w:val="000F4455"/>
    <w:rsid w:val="000F5B0D"/>
    <w:rsid w:val="000F7197"/>
    <w:rsid w:val="000F746C"/>
    <w:rsid w:val="000F7ABD"/>
    <w:rsid w:val="001015B4"/>
    <w:rsid w:val="00101A6B"/>
    <w:rsid w:val="001037EC"/>
    <w:rsid w:val="001057E6"/>
    <w:rsid w:val="00105DB6"/>
    <w:rsid w:val="001060BA"/>
    <w:rsid w:val="001062F0"/>
    <w:rsid w:val="00112653"/>
    <w:rsid w:val="00112785"/>
    <w:rsid w:val="00113770"/>
    <w:rsid w:val="001140F2"/>
    <w:rsid w:val="00115B8C"/>
    <w:rsid w:val="001172C9"/>
    <w:rsid w:val="001231C5"/>
    <w:rsid w:val="0012523D"/>
    <w:rsid w:val="00127F09"/>
    <w:rsid w:val="001313CF"/>
    <w:rsid w:val="001343B3"/>
    <w:rsid w:val="00135CE8"/>
    <w:rsid w:val="00135FB8"/>
    <w:rsid w:val="00136B04"/>
    <w:rsid w:val="00142A18"/>
    <w:rsid w:val="00142B2E"/>
    <w:rsid w:val="001449EE"/>
    <w:rsid w:val="00146F56"/>
    <w:rsid w:val="00147210"/>
    <w:rsid w:val="0014797C"/>
    <w:rsid w:val="00150D24"/>
    <w:rsid w:val="001519A5"/>
    <w:rsid w:val="00152452"/>
    <w:rsid w:val="001540E2"/>
    <w:rsid w:val="00155EC5"/>
    <w:rsid w:val="00161BE7"/>
    <w:rsid w:val="001631D2"/>
    <w:rsid w:val="001705DB"/>
    <w:rsid w:val="00170856"/>
    <w:rsid w:val="00172E5E"/>
    <w:rsid w:val="00176807"/>
    <w:rsid w:val="00177FEC"/>
    <w:rsid w:val="00181556"/>
    <w:rsid w:val="001825AD"/>
    <w:rsid w:val="00183804"/>
    <w:rsid w:val="001838B5"/>
    <w:rsid w:val="001944D0"/>
    <w:rsid w:val="001964EE"/>
    <w:rsid w:val="00196D7B"/>
    <w:rsid w:val="00197FBF"/>
    <w:rsid w:val="001A0937"/>
    <w:rsid w:val="001A179D"/>
    <w:rsid w:val="001A4DDE"/>
    <w:rsid w:val="001A5114"/>
    <w:rsid w:val="001B521D"/>
    <w:rsid w:val="001B6F0E"/>
    <w:rsid w:val="001C2060"/>
    <w:rsid w:val="001C5F4A"/>
    <w:rsid w:val="001C701D"/>
    <w:rsid w:val="001C7C40"/>
    <w:rsid w:val="001C7F2E"/>
    <w:rsid w:val="001D100D"/>
    <w:rsid w:val="001D481E"/>
    <w:rsid w:val="001D61E3"/>
    <w:rsid w:val="001D7DD9"/>
    <w:rsid w:val="001E27C0"/>
    <w:rsid w:val="001E2ADB"/>
    <w:rsid w:val="001E2D24"/>
    <w:rsid w:val="001E3268"/>
    <w:rsid w:val="001E3BFD"/>
    <w:rsid w:val="001E40C3"/>
    <w:rsid w:val="001E5DFB"/>
    <w:rsid w:val="001E65B9"/>
    <w:rsid w:val="001E737D"/>
    <w:rsid w:val="001F1AA8"/>
    <w:rsid w:val="001F211F"/>
    <w:rsid w:val="001F4392"/>
    <w:rsid w:val="001F7D1C"/>
    <w:rsid w:val="0020223C"/>
    <w:rsid w:val="00207EA3"/>
    <w:rsid w:val="00210E93"/>
    <w:rsid w:val="00214AB1"/>
    <w:rsid w:val="002153CE"/>
    <w:rsid w:val="0021601D"/>
    <w:rsid w:val="00217BB6"/>
    <w:rsid w:val="0022081B"/>
    <w:rsid w:val="00224393"/>
    <w:rsid w:val="0023365E"/>
    <w:rsid w:val="002337AB"/>
    <w:rsid w:val="0023449C"/>
    <w:rsid w:val="00234A17"/>
    <w:rsid w:val="00234F4A"/>
    <w:rsid w:val="0023523B"/>
    <w:rsid w:val="0024067F"/>
    <w:rsid w:val="00240DBA"/>
    <w:rsid w:val="00243E98"/>
    <w:rsid w:val="00244D39"/>
    <w:rsid w:val="00250AB8"/>
    <w:rsid w:val="00253CFA"/>
    <w:rsid w:val="00255B59"/>
    <w:rsid w:val="00262F2A"/>
    <w:rsid w:val="002639E3"/>
    <w:rsid w:val="00265E75"/>
    <w:rsid w:val="002661F9"/>
    <w:rsid w:val="00267C00"/>
    <w:rsid w:val="002720EB"/>
    <w:rsid w:val="00275723"/>
    <w:rsid w:val="002768BE"/>
    <w:rsid w:val="00277889"/>
    <w:rsid w:val="00281A51"/>
    <w:rsid w:val="00281C92"/>
    <w:rsid w:val="0028692C"/>
    <w:rsid w:val="00287345"/>
    <w:rsid w:val="00291A40"/>
    <w:rsid w:val="002953CE"/>
    <w:rsid w:val="00295D54"/>
    <w:rsid w:val="00296E7C"/>
    <w:rsid w:val="00296E81"/>
    <w:rsid w:val="002A0C89"/>
    <w:rsid w:val="002A172C"/>
    <w:rsid w:val="002A5EB6"/>
    <w:rsid w:val="002A6402"/>
    <w:rsid w:val="002A777B"/>
    <w:rsid w:val="002B0B0C"/>
    <w:rsid w:val="002B1DF2"/>
    <w:rsid w:val="002B2744"/>
    <w:rsid w:val="002B2BFA"/>
    <w:rsid w:val="002B3234"/>
    <w:rsid w:val="002B3BDA"/>
    <w:rsid w:val="002B3DDF"/>
    <w:rsid w:val="002B58F1"/>
    <w:rsid w:val="002B7FF9"/>
    <w:rsid w:val="002C0A5D"/>
    <w:rsid w:val="002C4ABA"/>
    <w:rsid w:val="002C4B23"/>
    <w:rsid w:val="002C4C11"/>
    <w:rsid w:val="002C718E"/>
    <w:rsid w:val="002D041B"/>
    <w:rsid w:val="002D14E8"/>
    <w:rsid w:val="002D58E3"/>
    <w:rsid w:val="002D6F4C"/>
    <w:rsid w:val="002D7455"/>
    <w:rsid w:val="002E4A4D"/>
    <w:rsid w:val="002E7410"/>
    <w:rsid w:val="002F2D51"/>
    <w:rsid w:val="002F54D2"/>
    <w:rsid w:val="00300B4F"/>
    <w:rsid w:val="00303DCE"/>
    <w:rsid w:val="00304B2F"/>
    <w:rsid w:val="00304B49"/>
    <w:rsid w:val="003058B0"/>
    <w:rsid w:val="00310298"/>
    <w:rsid w:val="003133E9"/>
    <w:rsid w:val="00313E2A"/>
    <w:rsid w:val="003155EA"/>
    <w:rsid w:val="00317F7E"/>
    <w:rsid w:val="00320862"/>
    <w:rsid w:val="003215E5"/>
    <w:rsid w:val="00321C26"/>
    <w:rsid w:val="00326C99"/>
    <w:rsid w:val="00327E2D"/>
    <w:rsid w:val="00333D54"/>
    <w:rsid w:val="00334519"/>
    <w:rsid w:val="00341BE8"/>
    <w:rsid w:val="003476E6"/>
    <w:rsid w:val="003507EF"/>
    <w:rsid w:val="00350EC5"/>
    <w:rsid w:val="003511E0"/>
    <w:rsid w:val="00356B5A"/>
    <w:rsid w:val="00362C0D"/>
    <w:rsid w:val="0036554D"/>
    <w:rsid w:val="003737C1"/>
    <w:rsid w:val="00373DD0"/>
    <w:rsid w:val="0037401E"/>
    <w:rsid w:val="00374096"/>
    <w:rsid w:val="00375723"/>
    <w:rsid w:val="003761BC"/>
    <w:rsid w:val="003768DE"/>
    <w:rsid w:val="00381D0C"/>
    <w:rsid w:val="00382192"/>
    <w:rsid w:val="003846D6"/>
    <w:rsid w:val="00395B72"/>
    <w:rsid w:val="00395F9B"/>
    <w:rsid w:val="00396D7D"/>
    <w:rsid w:val="00397D96"/>
    <w:rsid w:val="003A2509"/>
    <w:rsid w:val="003A5EB0"/>
    <w:rsid w:val="003B22F9"/>
    <w:rsid w:val="003B332F"/>
    <w:rsid w:val="003B38E9"/>
    <w:rsid w:val="003B47B2"/>
    <w:rsid w:val="003B7E1B"/>
    <w:rsid w:val="003C01C3"/>
    <w:rsid w:val="003C0E2B"/>
    <w:rsid w:val="003C7D75"/>
    <w:rsid w:val="003D1FE3"/>
    <w:rsid w:val="003D3D66"/>
    <w:rsid w:val="003E19CE"/>
    <w:rsid w:val="003E3755"/>
    <w:rsid w:val="003E7660"/>
    <w:rsid w:val="003E788B"/>
    <w:rsid w:val="003F4F1C"/>
    <w:rsid w:val="003F6703"/>
    <w:rsid w:val="003F7740"/>
    <w:rsid w:val="00402C28"/>
    <w:rsid w:val="00403748"/>
    <w:rsid w:val="00403ACA"/>
    <w:rsid w:val="00411614"/>
    <w:rsid w:val="00412F4D"/>
    <w:rsid w:val="00415410"/>
    <w:rsid w:val="00415EAA"/>
    <w:rsid w:val="00417F94"/>
    <w:rsid w:val="0042209A"/>
    <w:rsid w:val="00422991"/>
    <w:rsid w:val="00424C8D"/>
    <w:rsid w:val="004256A8"/>
    <w:rsid w:val="00426B2E"/>
    <w:rsid w:val="00427DC4"/>
    <w:rsid w:val="004302D2"/>
    <w:rsid w:val="00430C0B"/>
    <w:rsid w:val="00440117"/>
    <w:rsid w:val="00442812"/>
    <w:rsid w:val="00442E65"/>
    <w:rsid w:val="00455B50"/>
    <w:rsid w:val="00456B86"/>
    <w:rsid w:val="00462927"/>
    <w:rsid w:val="0046421B"/>
    <w:rsid w:val="00464363"/>
    <w:rsid w:val="00465679"/>
    <w:rsid w:val="00466547"/>
    <w:rsid w:val="00466B02"/>
    <w:rsid w:val="004707F2"/>
    <w:rsid w:val="00472AB2"/>
    <w:rsid w:val="0047475D"/>
    <w:rsid w:val="00474C78"/>
    <w:rsid w:val="00474ED7"/>
    <w:rsid w:val="00476D2F"/>
    <w:rsid w:val="00481662"/>
    <w:rsid w:val="0048502A"/>
    <w:rsid w:val="00485422"/>
    <w:rsid w:val="00485FE8"/>
    <w:rsid w:val="004906A1"/>
    <w:rsid w:val="00490E68"/>
    <w:rsid w:val="004919A4"/>
    <w:rsid w:val="004A009B"/>
    <w:rsid w:val="004A2AFA"/>
    <w:rsid w:val="004A31D5"/>
    <w:rsid w:val="004A4283"/>
    <w:rsid w:val="004A4A5A"/>
    <w:rsid w:val="004A7B9D"/>
    <w:rsid w:val="004B1286"/>
    <w:rsid w:val="004B61F1"/>
    <w:rsid w:val="004B7139"/>
    <w:rsid w:val="004B7E1E"/>
    <w:rsid w:val="004C23DA"/>
    <w:rsid w:val="004C3F78"/>
    <w:rsid w:val="004C571F"/>
    <w:rsid w:val="004C7E57"/>
    <w:rsid w:val="004D0875"/>
    <w:rsid w:val="004D177A"/>
    <w:rsid w:val="004D508E"/>
    <w:rsid w:val="004D5341"/>
    <w:rsid w:val="004D5F52"/>
    <w:rsid w:val="004D7DE1"/>
    <w:rsid w:val="004E2023"/>
    <w:rsid w:val="004E4622"/>
    <w:rsid w:val="004E4831"/>
    <w:rsid w:val="004E599A"/>
    <w:rsid w:val="004E5EBD"/>
    <w:rsid w:val="004E6572"/>
    <w:rsid w:val="004F05C0"/>
    <w:rsid w:val="00500232"/>
    <w:rsid w:val="005012A4"/>
    <w:rsid w:val="00504854"/>
    <w:rsid w:val="0051036D"/>
    <w:rsid w:val="00514BA2"/>
    <w:rsid w:val="0051595E"/>
    <w:rsid w:val="00517003"/>
    <w:rsid w:val="005179AF"/>
    <w:rsid w:val="00520E8E"/>
    <w:rsid w:val="00523DCE"/>
    <w:rsid w:val="00524C63"/>
    <w:rsid w:val="00524D51"/>
    <w:rsid w:val="00526511"/>
    <w:rsid w:val="005302C7"/>
    <w:rsid w:val="005303F0"/>
    <w:rsid w:val="0053288C"/>
    <w:rsid w:val="0053387E"/>
    <w:rsid w:val="00534131"/>
    <w:rsid w:val="00534D40"/>
    <w:rsid w:val="00535DE3"/>
    <w:rsid w:val="0053685A"/>
    <w:rsid w:val="00537A33"/>
    <w:rsid w:val="00541544"/>
    <w:rsid w:val="005429E1"/>
    <w:rsid w:val="005433CE"/>
    <w:rsid w:val="00545E9D"/>
    <w:rsid w:val="00550484"/>
    <w:rsid w:val="005524CA"/>
    <w:rsid w:val="0055304D"/>
    <w:rsid w:val="00553714"/>
    <w:rsid w:val="00554372"/>
    <w:rsid w:val="00555C5A"/>
    <w:rsid w:val="00557785"/>
    <w:rsid w:val="005606EA"/>
    <w:rsid w:val="00560B49"/>
    <w:rsid w:val="00560E43"/>
    <w:rsid w:val="00563C04"/>
    <w:rsid w:val="00566018"/>
    <w:rsid w:val="00567576"/>
    <w:rsid w:val="00567FE0"/>
    <w:rsid w:val="0057153B"/>
    <w:rsid w:val="00575329"/>
    <w:rsid w:val="00581D7F"/>
    <w:rsid w:val="005853EB"/>
    <w:rsid w:val="00585DEB"/>
    <w:rsid w:val="005925D4"/>
    <w:rsid w:val="00593E4B"/>
    <w:rsid w:val="00595287"/>
    <w:rsid w:val="005A2BD2"/>
    <w:rsid w:val="005A4A96"/>
    <w:rsid w:val="005A4BCF"/>
    <w:rsid w:val="005A5C57"/>
    <w:rsid w:val="005B1D76"/>
    <w:rsid w:val="005B61C2"/>
    <w:rsid w:val="005C061A"/>
    <w:rsid w:val="005C09B7"/>
    <w:rsid w:val="005C69B8"/>
    <w:rsid w:val="005C7112"/>
    <w:rsid w:val="005D1601"/>
    <w:rsid w:val="005E5716"/>
    <w:rsid w:val="005E58F8"/>
    <w:rsid w:val="005F10F4"/>
    <w:rsid w:val="005F16EE"/>
    <w:rsid w:val="005F1B30"/>
    <w:rsid w:val="005F37C6"/>
    <w:rsid w:val="005F79CF"/>
    <w:rsid w:val="0060199E"/>
    <w:rsid w:val="00602F79"/>
    <w:rsid w:val="00605675"/>
    <w:rsid w:val="00607C53"/>
    <w:rsid w:val="00612688"/>
    <w:rsid w:val="00613D80"/>
    <w:rsid w:val="00613EBE"/>
    <w:rsid w:val="00616AFB"/>
    <w:rsid w:val="00622924"/>
    <w:rsid w:val="00624662"/>
    <w:rsid w:val="006248EE"/>
    <w:rsid w:val="0062691D"/>
    <w:rsid w:val="006320D2"/>
    <w:rsid w:val="00633B2B"/>
    <w:rsid w:val="0063422E"/>
    <w:rsid w:val="0063541E"/>
    <w:rsid w:val="006367E8"/>
    <w:rsid w:val="00636B15"/>
    <w:rsid w:val="00637A39"/>
    <w:rsid w:val="0064367D"/>
    <w:rsid w:val="006440C3"/>
    <w:rsid w:val="00645A11"/>
    <w:rsid w:val="0065110F"/>
    <w:rsid w:val="0065178C"/>
    <w:rsid w:val="006518E5"/>
    <w:rsid w:val="00652382"/>
    <w:rsid w:val="00653FD6"/>
    <w:rsid w:val="00654B1F"/>
    <w:rsid w:val="00661A8D"/>
    <w:rsid w:val="00662180"/>
    <w:rsid w:val="00664355"/>
    <w:rsid w:val="006643EF"/>
    <w:rsid w:val="00665FC4"/>
    <w:rsid w:val="00666964"/>
    <w:rsid w:val="00666DB9"/>
    <w:rsid w:val="00667D4D"/>
    <w:rsid w:val="00670A42"/>
    <w:rsid w:val="00671BFB"/>
    <w:rsid w:val="006730D5"/>
    <w:rsid w:val="00673554"/>
    <w:rsid w:val="00674036"/>
    <w:rsid w:val="00676060"/>
    <w:rsid w:val="00680B43"/>
    <w:rsid w:val="006837F9"/>
    <w:rsid w:val="00683E2A"/>
    <w:rsid w:val="00686795"/>
    <w:rsid w:val="00686E1A"/>
    <w:rsid w:val="006914F1"/>
    <w:rsid w:val="00694C03"/>
    <w:rsid w:val="006A10FA"/>
    <w:rsid w:val="006A13E9"/>
    <w:rsid w:val="006A2601"/>
    <w:rsid w:val="006A3702"/>
    <w:rsid w:val="006A5B98"/>
    <w:rsid w:val="006A621C"/>
    <w:rsid w:val="006A6A59"/>
    <w:rsid w:val="006B01C4"/>
    <w:rsid w:val="006B109E"/>
    <w:rsid w:val="006B5176"/>
    <w:rsid w:val="006B719D"/>
    <w:rsid w:val="006B7745"/>
    <w:rsid w:val="006C1FF6"/>
    <w:rsid w:val="006C474E"/>
    <w:rsid w:val="006C6121"/>
    <w:rsid w:val="006C7D07"/>
    <w:rsid w:val="006D1C37"/>
    <w:rsid w:val="006D398D"/>
    <w:rsid w:val="006D5FFE"/>
    <w:rsid w:val="006D715D"/>
    <w:rsid w:val="006E3C8C"/>
    <w:rsid w:val="006E5A73"/>
    <w:rsid w:val="006E5A9E"/>
    <w:rsid w:val="006E5C0F"/>
    <w:rsid w:val="006E712A"/>
    <w:rsid w:val="006F0D64"/>
    <w:rsid w:val="006F1359"/>
    <w:rsid w:val="006F16B2"/>
    <w:rsid w:val="006F1B3E"/>
    <w:rsid w:val="006F1C6F"/>
    <w:rsid w:val="006F655A"/>
    <w:rsid w:val="0070580E"/>
    <w:rsid w:val="00706C16"/>
    <w:rsid w:val="007073EA"/>
    <w:rsid w:val="00711A03"/>
    <w:rsid w:val="00712EFC"/>
    <w:rsid w:val="00713F17"/>
    <w:rsid w:val="007201EB"/>
    <w:rsid w:val="00723285"/>
    <w:rsid w:val="007233A0"/>
    <w:rsid w:val="007238B0"/>
    <w:rsid w:val="0072449D"/>
    <w:rsid w:val="00725F12"/>
    <w:rsid w:val="007260E9"/>
    <w:rsid w:val="0072725E"/>
    <w:rsid w:val="00733A14"/>
    <w:rsid w:val="0073657C"/>
    <w:rsid w:val="007408DD"/>
    <w:rsid w:val="00747854"/>
    <w:rsid w:val="00751C87"/>
    <w:rsid w:val="007531A1"/>
    <w:rsid w:val="00763110"/>
    <w:rsid w:val="007640C1"/>
    <w:rsid w:val="00764C28"/>
    <w:rsid w:val="007660C7"/>
    <w:rsid w:val="0077189E"/>
    <w:rsid w:val="0077461A"/>
    <w:rsid w:val="00774BFE"/>
    <w:rsid w:val="00777BA8"/>
    <w:rsid w:val="00780701"/>
    <w:rsid w:val="00785241"/>
    <w:rsid w:val="00785B8B"/>
    <w:rsid w:val="007863F2"/>
    <w:rsid w:val="00793E0A"/>
    <w:rsid w:val="00795CE5"/>
    <w:rsid w:val="007A151B"/>
    <w:rsid w:val="007A52B8"/>
    <w:rsid w:val="007A63BF"/>
    <w:rsid w:val="007A7107"/>
    <w:rsid w:val="007B19E0"/>
    <w:rsid w:val="007B1E18"/>
    <w:rsid w:val="007B2237"/>
    <w:rsid w:val="007B3154"/>
    <w:rsid w:val="007C0E82"/>
    <w:rsid w:val="007C283F"/>
    <w:rsid w:val="007C4FCD"/>
    <w:rsid w:val="007C5367"/>
    <w:rsid w:val="007C7985"/>
    <w:rsid w:val="007D601A"/>
    <w:rsid w:val="007E1206"/>
    <w:rsid w:val="007E218E"/>
    <w:rsid w:val="007E5DA6"/>
    <w:rsid w:val="007E7F84"/>
    <w:rsid w:val="007F017C"/>
    <w:rsid w:val="007F1231"/>
    <w:rsid w:val="007F29AC"/>
    <w:rsid w:val="007F40B3"/>
    <w:rsid w:val="007F51EA"/>
    <w:rsid w:val="007F53DE"/>
    <w:rsid w:val="007F6AF8"/>
    <w:rsid w:val="007F7B5C"/>
    <w:rsid w:val="00801D4D"/>
    <w:rsid w:val="00804716"/>
    <w:rsid w:val="00805519"/>
    <w:rsid w:val="00815200"/>
    <w:rsid w:val="00820EDD"/>
    <w:rsid w:val="0082171C"/>
    <w:rsid w:val="00822A43"/>
    <w:rsid w:val="00823641"/>
    <w:rsid w:val="00825695"/>
    <w:rsid w:val="00826566"/>
    <w:rsid w:val="0082683B"/>
    <w:rsid w:val="00830160"/>
    <w:rsid w:val="00830477"/>
    <w:rsid w:val="008307FB"/>
    <w:rsid w:val="00830DA8"/>
    <w:rsid w:val="00831147"/>
    <w:rsid w:val="008327C9"/>
    <w:rsid w:val="008336C6"/>
    <w:rsid w:val="00833FEB"/>
    <w:rsid w:val="00834A0F"/>
    <w:rsid w:val="00845288"/>
    <w:rsid w:val="00845C38"/>
    <w:rsid w:val="00846DA2"/>
    <w:rsid w:val="008531F0"/>
    <w:rsid w:val="00860923"/>
    <w:rsid w:val="00861FFC"/>
    <w:rsid w:val="00863047"/>
    <w:rsid w:val="00863E94"/>
    <w:rsid w:val="00865243"/>
    <w:rsid w:val="00866536"/>
    <w:rsid w:val="0087482B"/>
    <w:rsid w:val="00874E8C"/>
    <w:rsid w:val="008775AC"/>
    <w:rsid w:val="008800AB"/>
    <w:rsid w:val="00881017"/>
    <w:rsid w:val="00882986"/>
    <w:rsid w:val="0088396C"/>
    <w:rsid w:val="008857A8"/>
    <w:rsid w:val="00885AB2"/>
    <w:rsid w:val="00886491"/>
    <w:rsid w:val="0088699E"/>
    <w:rsid w:val="008870AB"/>
    <w:rsid w:val="008912EF"/>
    <w:rsid w:val="0089181E"/>
    <w:rsid w:val="008932AA"/>
    <w:rsid w:val="00895300"/>
    <w:rsid w:val="008A04D1"/>
    <w:rsid w:val="008A1C96"/>
    <w:rsid w:val="008A1D29"/>
    <w:rsid w:val="008A22C2"/>
    <w:rsid w:val="008A56C4"/>
    <w:rsid w:val="008B0A9C"/>
    <w:rsid w:val="008B3441"/>
    <w:rsid w:val="008B5872"/>
    <w:rsid w:val="008C4DE7"/>
    <w:rsid w:val="008C4F14"/>
    <w:rsid w:val="008C535A"/>
    <w:rsid w:val="008C5B44"/>
    <w:rsid w:val="008C72BD"/>
    <w:rsid w:val="008D2AE3"/>
    <w:rsid w:val="008D3584"/>
    <w:rsid w:val="008E0CA0"/>
    <w:rsid w:val="008E267E"/>
    <w:rsid w:val="008E48C6"/>
    <w:rsid w:val="008E6D07"/>
    <w:rsid w:val="008E7877"/>
    <w:rsid w:val="008F11D6"/>
    <w:rsid w:val="008F3EB8"/>
    <w:rsid w:val="00905014"/>
    <w:rsid w:val="00915B5B"/>
    <w:rsid w:val="009162C1"/>
    <w:rsid w:val="0092461B"/>
    <w:rsid w:val="00926DFF"/>
    <w:rsid w:val="00926E73"/>
    <w:rsid w:val="00935332"/>
    <w:rsid w:val="00935B20"/>
    <w:rsid w:val="00937A8E"/>
    <w:rsid w:val="009468F9"/>
    <w:rsid w:val="00946C58"/>
    <w:rsid w:val="00954D4B"/>
    <w:rsid w:val="009574BB"/>
    <w:rsid w:val="009637D0"/>
    <w:rsid w:val="0096447F"/>
    <w:rsid w:val="00964B9B"/>
    <w:rsid w:val="00966F00"/>
    <w:rsid w:val="00972AA9"/>
    <w:rsid w:val="00972BDE"/>
    <w:rsid w:val="00981A3B"/>
    <w:rsid w:val="00982B99"/>
    <w:rsid w:val="00986150"/>
    <w:rsid w:val="009907E4"/>
    <w:rsid w:val="00991FB8"/>
    <w:rsid w:val="00994BC0"/>
    <w:rsid w:val="009A0790"/>
    <w:rsid w:val="009A3CA3"/>
    <w:rsid w:val="009A5A02"/>
    <w:rsid w:val="009A64C1"/>
    <w:rsid w:val="009A6A93"/>
    <w:rsid w:val="009B40FF"/>
    <w:rsid w:val="009B73F1"/>
    <w:rsid w:val="009C2755"/>
    <w:rsid w:val="009C462B"/>
    <w:rsid w:val="009C5EEA"/>
    <w:rsid w:val="009D018C"/>
    <w:rsid w:val="009D0945"/>
    <w:rsid w:val="009D12EA"/>
    <w:rsid w:val="009D1621"/>
    <w:rsid w:val="009D27B0"/>
    <w:rsid w:val="009D7745"/>
    <w:rsid w:val="009E0494"/>
    <w:rsid w:val="009E1FCD"/>
    <w:rsid w:val="009E2C2F"/>
    <w:rsid w:val="009E311D"/>
    <w:rsid w:val="009E3952"/>
    <w:rsid w:val="009E5635"/>
    <w:rsid w:val="009F04E6"/>
    <w:rsid w:val="009F319B"/>
    <w:rsid w:val="009F6C70"/>
    <w:rsid w:val="00A0179E"/>
    <w:rsid w:val="00A03A01"/>
    <w:rsid w:val="00A11534"/>
    <w:rsid w:val="00A11C54"/>
    <w:rsid w:val="00A13608"/>
    <w:rsid w:val="00A16C5C"/>
    <w:rsid w:val="00A171B3"/>
    <w:rsid w:val="00A30A8D"/>
    <w:rsid w:val="00A330EF"/>
    <w:rsid w:val="00A37583"/>
    <w:rsid w:val="00A4120F"/>
    <w:rsid w:val="00A452B6"/>
    <w:rsid w:val="00A456B7"/>
    <w:rsid w:val="00A465EE"/>
    <w:rsid w:val="00A47584"/>
    <w:rsid w:val="00A47A9C"/>
    <w:rsid w:val="00A51BC2"/>
    <w:rsid w:val="00A52F39"/>
    <w:rsid w:val="00A611EA"/>
    <w:rsid w:val="00A626DB"/>
    <w:rsid w:val="00A63E4A"/>
    <w:rsid w:val="00A66E11"/>
    <w:rsid w:val="00A71170"/>
    <w:rsid w:val="00A77DD6"/>
    <w:rsid w:val="00A808E8"/>
    <w:rsid w:val="00A80AF4"/>
    <w:rsid w:val="00A8295B"/>
    <w:rsid w:val="00A82ABB"/>
    <w:rsid w:val="00A8787A"/>
    <w:rsid w:val="00A9032C"/>
    <w:rsid w:val="00A91891"/>
    <w:rsid w:val="00A92EFD"/>
    <w:rsid w:val="00A95685"/>
    <w:rsid w:val="00A966F0"/>
    <w:rsid w:val="00AA06E8"/>
    <w:rsid w:val="00AA0B10"/>
    <w:rsid w:val="00AA0B47"/>
    <w:rsid w:val="00AA1E41"/>
    <w:rsid w:val="00AA2287"/>
    <w:rsid w:val="00AA5FFB"/>
    <w:rsid w:val="00AB250E"/>
    <w:rsid w:val="00AB595D"/>
    <w:rsid w:val="00AB5A49"/>
    <w:rsid w:val="00AB7223"/>
    <w:rsid w:val="00AC3DB6"/>
    <w:rsid w:val="00AC5011"/>
    <w:rsid w:val="00AC54FF"/>
    <w:rsid w:val="00AC5FF2"/>
    <w:rsid w:val="00AD02D6"/>
    <w:rsid w:val="00AD7645"/>
    <w:rsid w:val="00AE27B0"/>
    <w:rsid w:val="00AE2FB0"/>
    <w:rsid w:val="00AE5B46"/>
    <w:rsid w:val="00AE5DBA"/>
    <w:rsid w:val="00AE6466"/>
    <w:rsid w:val="00AE6F54"/>
    <w:rsid w:val="00AF0979"/>
    <w:rsid w:val="00AF3681"/>
    <w:rsid w:val="00AF5CB7"/>
    <w:rsid w:val="00AF74C5"/>
    <w:rsid w:val="00B00512"/>
    <w:rsid w:val="00B04671"/>
    <w:rsid w:val="00B12BFF"/>
    <w:rsid w:val="00B134D2"/>
    <w:rsid w:val="00B21376"/>
    <w:rsid w:val="00B22D5A"/>
    <w:rsid w:val="00B23A53"/>
    <w:rsid w:val="00B255AF"/>
    <w:rsid w:val="00B25A97"/>
    <w:rsid w:val="00B27696"/>
    <w:rsid w:val="00B306AB"/>
    <w:rsid w:val="00B31522"/>
    <w:rsid w:val="00B32031"/>
    <w:rsid w:val="00B326C2"/>
    <w:rsid w:val="00B3697A"/>
    <w:rsid w:val="00B40A4C"/>
    <w:rsid w:val="00B416B0"/>
    <w:rsid w:val="00B5048D"/>
    <w:rsid w:val="00B52425"/>
    <w:rsid w:val="00B53615"/>
    <w:rsid w:val="00B53E8A"/>
    <w:rsid w:val="00B54C29"/>
    <w:rsid w:val="00B5785E"/>
    <w:rsid w:val="00B60655"/>
    <w:rsid w:val="00B6104B"/>
    <w:rsid w:val="00B631AC"/>
    <w:rsid w:val="00B636EA"/>
    <w:rsid w:val="00B63850"/>
    <w:rsid w:val="00B70DD6"/>
    <w:rsid w:val="00B77B25"/>
    <w:rsid w:val="00B8340F"/>
    <w:rsid w:val="00B84359"/>
    <w:rsid w:val="00B848DD"/>
    <w:rsid w:val="00B91404"/>
    <w:rsid w:val="00B92F5F"/>
    <w:rsid w:val="00B964AB"/>
    <w:rsid w:val="00B96748"/>
    <w:rsid w:val="00B97F44"/>
    <w:rsid w:val="00BA0404"/>
    <w:rsid w:val="00BA0969"/>
    <w:rsid w:val="00BA19A0"/>
    <w:rsid w:val="00BA28DB"/>
    <w:rsid w:val="00BA3B55"/>
    <w:rsid w:val="00BA609C"/>
    <w:rsid w:val="00BA78FB"/>
    <w:rsid w:val="00BB0D4D"/>
    <w:rsid w:val="00BB1E59"/>
    <w:rsid w:val="00BB33FD"/>
    <w:rsid w:val="00BB347F"/>
    <w:rsid w:val="00BB68C9"/>
    <w:rsid w:val="00BB6C16"/>
    <w:rsid w:val="00BC04EA"/>
    <w:rsid w:val="00BC0977"/>
    <w:rsid w:val="00BC79C6"/>
    <w:rsid w:val="00BD0C32"/>
    <w:rsid w:val="00BD2D49"/>
    <w:rsid w:val="00BD415A"/>
    <w:rsid w:val="00BD4EFA"/>
    <w:rsid w:val="00BD77B8"/>
    <w:rsid w:val="00BE0059"/>
    <w:rsid w:val="00BE1D86"/>
    <w:rsid w:val="00BE236D"/>
    <w:rsid w:val="00BE488E"/>
    <w:rsid w:val="00BF132D"/>
    <w:rsid w:val="00BF2053"/>
    <w:rsid w:val="00BF25C8"/>
    <w:rsid w:val="00BF3B62"/>
    <w:rsid w:val="00BF6757"/>
    <w:rsid w:val="00C00467"/>
    <w:rsid w:val="00C04DA8"/>
    <w:rsid w:val="00C05D32"/>
    <w:rsid w:val="00C0647E"/>
    <w:rsid w:val="00C07AB7"/>
    <w:rsid w:val="00C1021F"/>
    <w:rsid w:val="00C10753"/>
    <w:rsid w:val="00C10A58"/>
    <w:rsid w:val="00C11E63"/>
    <w:rsid w:val="00C1234C"/>
    <w:rsid w:val="00C127BC"/>
    <w:rsid w:val="00C12AF0"/>
    <w:rsid w:val="00C1435D"/>
    <w:rsid w:val="00C15E38"/>
    <w:rsid w:val="00C1693B"/>
    <w:rsid w:val="00C17602"/>
    <w:rsid w:val="00C2068D"/>
    <w:rsid w:val="00C22A26"/>
    <w:rsid w:val="00C234A9"/>
    <w:rsid w:val="00C245F6"/>
    <w:rsid w:val="00C2740F"/>
    <w:rsid w:val="00C31A83"/>
    <w:rsid w:val="00C35203"/>
    <w:rsid w:val="00C40AA1"/>
    <w:rsid w:val="00C41BBB"/>
    <w:rsid w:val="00C47FEC"/>
    <w:rsid w:val="00C53109"/>
    <w:rsid w:val="00C53A7A"/>
    <w:rsid w:val="00C54ABB"/>
    <w:rsid w:val="00C57823"/>
    <w:rsid w:val="00C606D3"/>
    <w:rsid w:val="00C66431"/>
    <w:rsid w:val="00C67093"/>
    <w:rsid w:val="00C718E0"/>
    <w:rsid w:val="00C81A96"/>
    <w:rsid w:val="00C905AE"/>
    <w:rsid w:val="00C92B14"/>
    <w:rsid w:val="00C9349B"/>
    <w:rsid w:val="00C948C6"/>
    <w:rsid w:val="00C96C2B"/>
    <w:rsid w:val="00C97BEA"/>
    <w:rsid w:val="00C97EB3"/>
    <w:rsid w:val="00CA0825"/>
    <w:rsid w:val="00CB2496"/>
    <w:rsid w:val="00CB7A11"/>
    <w:rsid w:val="00CB7B35"/>
    <w:rsid w:val="00CC181B"/>
    <w:rsid w:val="00CD083A"/>
    <w:rsid w:val="00CD3251"/>
    <w:rsid w:val="00CD3B33"/>
    <w:rsid w:val="00CD4D94"/>
    <w:rsid w:val="00CE14D6"/>
    <w:rsid w:val="00CE15B4"/>
    <w:rsid w:val="00CE1831"/>
    <w:rsid w:val="00CE7B90"/>
    <w:rsid w:val="00CF0CF5"/>
    <w:rsid w:val="00CF7FE4"/>
    <w:rsid w:val="00D007E0"/>
    <w:rsid w:val="00D0162C"/>
    <w:rsid w:val="00D02111"/>
    <w:rsid w:val="00D02D91"/>
    <w:rsid w:val="00D03EA2"/>
    <w:rsid w:val="00D04E13"/>
    <w:rsid w:val="00D0566C"/>
    <w:rsid w:val="00D06042"/>
    <w:rsid w:val="00D07A9D"/>
    <w:rsid w:val="00D12CBA"/>
    <w:rsid w:val="00D15B55"/>
    <w:rsid w:val="00D1781B"/>
    <w:rsid w:val="00D235E6"/>
    <w:rsid w:val="00D23876"/>
    <w:rsid w:val="00D25184"/>
    <w:rsid w:val="00D31716"/>
    <w:rsid w:val="00D340E2"/>
    <w:rsid w:val="00D34527"/>
    <w:rsid w:val="00D366C3"/>
    <w:rsid w:val="00D370CF"/>
    <w:rsid w:val="00D37C1F"/>
    <w:rsid w:val="00D518E5"/>
    <w:rsid w:val="00D52F0C"/>
    <w:rsid w:val="00D537FD"/>
    <w:rsid w:val="00D542E9"/>
    <w:rsid w:val="00D578AE"/>
    <w:rsid w:val="00D602E5"/>
    <w:rsid w:val="00D6170E"/>
    <w:rsid w:val="00D61754"/>
    <w:rsid w:val="00D62B44"/>
    <w:rsid w:val="00D630E2"/>
    <w:rsid w:val="00D64268"/>
    <w:rsid w:val="00D64543"/>
    <w:rsid w:val="00D6567F"/>
    <w:rsid w:val="00D66CC7"/>
    <w:rsid w:val="00D713DA"/>
    <w:rsid w:val="00D71A11"/>
    <w:rsid w:val="00D74044"/>
    <w:rsid w:val="00D744E5"/>
    <w:rsid w:val="00D74774"/>
    <w:rsid w:val="00D81ACE"/>
    <w:rsid w:val="00D81CBC"/>
    <w:rsid w:val="00D85FBC"/>
    <w:rsid w:val="00D8684D"/>
    <w:rsid w:val="00D86CCE"/>
    <w:rsid w:val="00D922F7"/>
    <w:rsid w:val="00D93767"/>
    <w:rsid w:val="00D95987"/>
    <w:rsid w:val="00D97FC8"/>
    <w:rsid w:val="00DA0ABA"/>
    <w:rsid w:val="00DA1120"/>
    <w:rsid w:val="00DA1345"/>
    <w:rsid w:val="00DA3498"/>
    <w:rsid w:val="00DA34B5"/>
    <w:rsid w:val="00DA3C68"/>
    <w:rsid w:val="00DA5A25"/>
    <w:rsid w:val="00DA5FAC"/>
    <w:rsid w:val="00DA7230"/>
    <w:rsid w:val="00DB0509"/>
    <w:rsid w:val="00DB0F0B"/>
    <w:rsid w:val="00DB14B1"/>
    <w:rsid w:val="00DB3424"/>
    <w:rsid w:val="00DB45D8"/>
    <w:rsid w:val="00DC1628"/>
    <w:rsid w:val="00DC40BD"/>
    <w:rsid w:val="00DC52E1"/>
    <w:rsid w:val="00DD21D4"/>
    <w:rsid w:val="00DD4F3B"/>
    <w:rsid w:val="00DD66D8"/>
    <w:rsid w:val="00DE1D40"/>
    <w:rsid w:val="00DE303C"/>
    <w:rsid w:val="00DE3297"/>
    <w:rsid w:val="00DF06E3"/>
    <w:rsid w:val="00DF1B46"/>
    <w:rsid w:val="00DF566F"/>
    <w:rsid w:val="00DF5E05"/>
    <w:rsid w:val="00E02125"/>
    <w:rsid w:val="00E03A67"/>
    <w:rsid w:val="00E07929"/>
    <w:rsid w:val="00E07946"/>
    <w:rsid w:val="00E15C35"/>
    <w:rsid w:val="00E15EEB"/>
    <w:rsid w:val="00E160D8"/>
    <w:rsid w:val="00E16780"/>
    <w:rsid w:val="00E17AB2"/>
    <w:rsid w:val="00E2095E"/>
    <w:rsid w:val="00E2212F"/>
    <w:rsid w:val="00E22867"/>
    <w:rsid w:val="00E266C4"/>
    <w:rsid w:val="00E36E78"/>
    <w:rsid w:val="00E37295"/>
    <w:rsid w:val="00E37CF8"/>
    <w:rsid w:val="00E4164C"/>
    <w:rsid w:val="00E41971"/>
    <w:rsid w:val="00E41A69"/>
    <w:rsid w:val="00E429F9"/>
    <w:rsid w:val="00E42ACA"/>
    <w:rsid w:val="00E4304F"/>
    <w:rsid w:val="00E50DC7"/>
    <w:rsid w:val="00E53A3F"/>
    <w:rsid w:val="00E54DAA"/>
    <w:rsid w:val="00E578D1"/>
    <w:rsid w:val="00E611F6"/>
    <w:rsid w:val="00E63BB9"/>
    <w:rsid w:val="00E65C9D"/>
    <w:rsid w:val="00E67FD4"/>
    <w:rsid w:val="00E737BF"/>
    <w:rsid w:val="00E7525D"/>
    <w:rsid w:val="00E7676D"/>
    <w:rsid w:val="00E77B81"/>
    <w:rsid w:val="00E818D4"/>
    <w:rsid w:val="00E83E00"/>
    <w:rsid w:val="00E84213"/>
    <w:rsid w:val="00E856F2"/>
    <w:rsid w:val="00E910FF"/>
    <w:rsid w:val="00E92E08"/>
    <w:rsid w:val="00E95883"/>
    <w:rsid w:val="00E962CD"/>
    <w:rsid w:val="00EA1A6C"/>
    <w:rsid w:val="00EA406A"/>
    <w:rsid w:val="00EA416D"/>
    <w:rsid w:val="00EA5783"/>
    <w:rsid w:val="00EA7B6A"/>
    <w:rsid w:val="00EB58DB"/>
    <w:rsid w:val="00EB7D33"/>
    <w:rsid w:val="00EC3989"/>
    <w:rsid w:val="00EC3EB8"/>
    <w:rsid w:val="00EC5947"/>
    <w:rsid w:val="00ED34A7"/>
    <w:rsid w:val="00ED442A"/>
    <w:rsid w:val="00ED4E5B"/>
    <w:rsid w:val="00EE1694"/>
    <w:rsid w:val="00EE1F45"/>
    <w:rsid w:val="00EE3745"/>
    <w:rsid w:val="00EF0633"/>
    <w:rsid w:val="00EF1277"/>
    <w:rsid w:val="00EF23EF"/>
    <w:rsid w:val="00EF365F"/>
    <w:rsid w:val="00EF39AC"/>
    <w:rsid w:val="00EF4E32"/>
    <w:rsid w:val="00EF60D4"/>
    <w:rsid w:val="00EF7E4C"/>
    <w:rsid w:val="00F01DDB"/>
    <w:rsid w:val="00F02AA6"/>
    <w:rsid w:val="00F0521E"/>
    <w:rsid w:val="00F06858"/>
    <w:rsid w:val="00F1113D"/>
    <w:rsid w:val="00F22AEA"/>
    <w:rsid w:val="00F2498F"/>
    <w:rsid w:val="00F2580E"/>
    <w:rsid w:val="00F27AB5"/>
    <w:rsid w:val="00F352D0"/>
    <w:rsid w:val="00F40956"/>
    <w:rsid w:val="00F43A8F"/>
    <w:rsid w:val="00F43B01"/>
    <w:rsid w:val="00F514CA"/>
    <w:rsid w:val="00F53561"/>
    <w:rsid w:val="00F57680"/>
    <w:rsid w:val="00F61047"/>
    <w:rsid w:val="00F647E9"/>
    <w:rsid w:val="00F65176"/>
    <w:rsid w:val="00F72173"/>
    <w:rsid w:val="00F74237"/>
    <w:rsid w:val="00F814B9"/>
    <w:rsid w:val="00F81CEE"/>
    <w:rsid w:val="00F8237C"/>
    <w:rsid w:val="00F91A7B"/>
    <w:rsid w:val="00F94AED"/>
    <w:rsid w:val="00F95D3B"/>
    <w:rsid w:val="00F96FAA"/>
    <w:rsid w:val="00FA1257"/>
    <w:rsid w:val="00FA2207"/>
    <w:rsid w:val="00FA29F6"/>
    <w:rsid w:val="00FA3215"/>
    <w:rsid w:val="00FA5EF2"/>
    <w:rsid w:val="00FA674D"/>
    <w:rsid w:val="00FA756A"/>
    <w:rsid w:val="00FA78EE"/>
    <w:rsid w:val="00FB18C1"/>
    <w:rsid w:val="00FB1CD9"/>
    <w:rsid w:val="00FB3ECE"/>
    <w:rsid w:val="00FB40D5"/>
    <w:rsid w:val="00FB4D77"/>
    <w:rsid w:val="00FB5C86"/>
    <w:rsid w:val="00FC013A"/>
    <w:rsid w:val="00FC4644"/>
    <w:rsid w:val="00FC5EBA"/>
    <w:rsid w:val="00FD0525"/>
    <w:rsid w:val="00FD0A6B"/>
    <w:rsid w:val="00FD34DE"/>
    <w:rsid w:val="00FD68D5"/>
    <w:rsid w:val="00FD6C0C"/>
    <w:rsid w:val="00FE482B"/>
    <w:rsid w:val="00FE6A4D"/>
    <w:rsid w:val="00FE7A03"/>
    <w:rsid w:val="00FF0185"/>
    <w:rsid w:val="00FF3216"/>
    <w:rsid w:val="00FF67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6977"/>
    <o:shapelayout v:ext="edit">
      <o:idmap v:ext="edit" data="1"/>
    </o:shapelayout>
  </w:shapeDefaults>
  <w:decimalSymbol w:val="."/>
  <w:listSeparator w:val=","/>
  <w14:docId w14:val="2AB68EFD"/>
  <w15:docId w15:val="{816F2568-BC75-4269-BB94-32B6B46FE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72F0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5A2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5A25"/>
    <w:rPr>
      <w:rFonts w:ascii="Tahoma" w:hAnsi="Tahoma" w:cs="Tahoma"/>
      <w:sz w:val="16"/>
      <w:szCs w:val="16"/>
    </w:rPr>
  </w:style>
  <w:style w:type="paragraph" w:styleId="Header">
    <w:name w:val="header"/>
    <w:basedOn w:val="Normal"/>
    <w:link w:val="HeaderChar"/>
    <w:uiPriority w:val="99"/>
    <w:unhideWhenUsed/>
    <w:rsid w:val="0023449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3449C"/>
  </w:style>
  <w:style w:type="paragraph" w:styleId="Footer">
    <w:name w:val="footer"/>
    <w:basedOn w:val="Normal"/>
    <w:link w:val="FooterChar"/>
    <w:uiPriority w:val="99"/>
    <w:unhideWhenUsed/>
    <w:rsid w:val="0023449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3449C"/>
  </w:style>
  <w:style w:type="table" w:styleId="TableGrid">
    <w:name w:val="Table Grid"/>
    <w:basedOn w:val="TableNormal"/>
    <w:uiPriority w:val="59"/>
    <w:rsid w:val="006A260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B23A53"/>
    <w:pPr>
      <w:ind w:left="720"/>
      <w:contextualSpacing/>
    </w:pPr>
  </w:style>
  <w:style w:type="character" w:styleId="Hyperlink">
    <w:name w:val="Hyperlink"/>
    <w:basedOn w:val="DefaultParagraphFont"/>
    <w:uiPriority w:val="99"/>
    <w:unhideWhenUsed/>
    <w:rsid w:val="001E737D"/>
    <w:rPr>
      <w:color w:val="0000FF" w:themeColor="hyperlink"/>
      <w:u w:val="single"/>
    </w:rPr>
  </w:style>
  <w:style w:type="paragraph" w:styleId="NoSpacing">
    <w:name w:val="No Spacing"/>
    <w:uiPriority w:val="1"/>
    <w:qFormat/>
    <w:rsid w:val="000632AF"/>
    <w:pPr>
      <w:spacing w:after="0" w:line="240" w:lineRule="auto"/>
    </w:pPr>
  </w:style>
  <w:style w:type="numbering" w:customStyle="1" w:styleId="Style1">
    <w:name w:val="Style1"/>
    <w:uiPriority w:val="99"/>
    <w:rsid w:val="00490E68"/>
    <w:pPr>
      <w:numPr>
        <w:numId w:val="4"/>
      </w:numPr>
    </w:pPr>
  </w:style>
  <w:style w:type="character" w:styleId="CommentReference">
    <w:name w:val="annotation reference"/>
    <w:basedOn w:val="DefaultParagraphFont"/>
    <w:uiPriority w:val="99"/>
    <w:semiHidden/>
    <w:unhideWhenUsed/>
    <w:rsid w:val="006A5B98"/>
    <w:rPr>
      <w:sz w:val="16"/>
      <w:szCs w:val="16"/>
    </w:rPr>
  </w:style>
  <w:style w:type="paragraph" w:styleId="CommentText">
    <w:name w:val="annotation text"/>
    <w:basedOn w:val="Normal"/>
    <w:link w:val="CommentTextChar"/>
    <w:uiPriority w:val="99"/>
    <w:semiHidden/>
    <w:unhideWhenUsed/>
    <w:rsid w:val="006A5B98"/>
    <w:pPr>
      <w:spacing w:line="240" w:lineRule="auto"/>
    </w:pPr>
    <w:rPr>
      <w:sz w:val="20"/>
      <w:szCs w:val="20"/>
    </w:rPr>
  </w:style>
  <w:style w:type="character" w:customStyle="1" w:styleId="CommentTextChar">
    <w:name w:val="Comment Text Char"/>
    <w:basedOn w:val="DefaultParagraphFont"/>
    <w:link w:val="CommentText"/>
    <w:uiPriority w:val="99"/>
    <w:semiHidden/>
    <w:rsid w:val="006A5B98"/>
    <w:rPr>
      <w:sz w:val="20"/>
      <w:szCs w:val="20"/>
    </w:rPr>
  </w:style>
  <w:style w:type="paragraph" w:styleId="CommentSubject">
    <w:name w:val="annotation subject"/>
    <w:basedOn w:val="CommentText"/>
    <w:next w:val="CommentText"/>
    <w:link w:val="CommentSubjectChar"/>
    <w:uiPriority w:val="99"/>
    <w:semiHidden/>
    <w:unhideWhenUsed/>
    <w:rsid w:val="006A5B98"/>
    <w:rPr>
      <w:b/>
      <w:bCs/>
    </w:rPr>
  </w:style>
  <w:style w:type="character" w:customStyle="1" w:styleId="CommentSubjectChar">
    <w:name w:val="Comment Subject Char"/>
    <w:basedOn w:val="CommentTextChar"/>
    <w:link w:val="CommentSubject"/>
    <w:uiPriority w:val="99"/>
    <w:semiHidden/>
    <w:rsid w:val="006A5B98"/>
    <w:rPr>
      <w:b/>
      <w:bCs/>
      <w:sz w:val="20"/>
      <w:szCs w:val="20"/>
    </w:rPr>
  </w:style>
  <w:style w:type="paragraph" w:styleId="Revision">
    <w:name w:val="Revision"/>
    <w:hidden/>
    <w:uiPriority w:val="99"/>
    <w:semiHidden/>
    <w:rsid w:val="009E311D"/>
    <w:pPr>
      <w:spacing w:after="0" w:line="240" w:lineRule="auto"/>
    </w:pPr>
  </w:style>
  <w:style w:type="character" w:styleId="FollowedHyperlink">
    <w:name w:val="FollowedHyperlink"/>
    <w:basedOn w:val="DefaultParagraphFont"/>
    <w:uiPriority w:val="99"/>
    <w:semiHidden/>
    <w:unhideWhenUsed/>
    <w:rsid w:val="00B70DD6"/>
    <w:rPr>
      <w:color w:val="800080" w:themeColor="followedHyperlink"/>
      <w:u w:val="single"/>
    </w:rPr>
  </w:style>
  <w:style w:type="paragraph" w:customStyle="1" w:styleId="BasicParagraph">
    <w:name w:val="[Basic Paragraph]"/>
    <w:basedOn w:val="Normal"/>
    <w:uiPriority w:val="99"/>
    <w:rsid w:val="004D177A"/>
    <w:pPr>
      <w:widowControl w:val="0"/>
      <w:autoSpaceDE w:val="0"/>
      <w:autoSpaceDN w:val="0"/>
      <w:adjustRightInd w:val="0"/>
      <w:spacing w:after="0" w:line="288" w:lineRule="auto"/>
      <w:textAlignment w:val="center"/>
    </w:pPr>
    <w:rPr>
      <w:rFonts w:ascii="MinionPro-Regular" w:hAnsi="MinionPro-Regular" w:cs="MinionPro-Regula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1755">
      <w:bodyDiv w:val="1"/>
      <w:marLeft w:val="0"/>
      <w:marRight w:val="0"/>
      <w:marTop w:val="0"/>
      <w:marBottom w:val="0"/>
      <w:divBdr>
        <w:top w:val="none" w:sz="0" w:space="0" w:color="auto"/>
        <w:left w:val="none" w:sz="0" w:space="0" w:color="auto"/>
        <w:bottom w:val="none" w:sz="0" w:space="0" w:color="auto"/>
        <w:right w:val="none" w:sz="0" w:space="0" w:color="auto"/>
      </w:divBdr>
    </w:div>
    <w:div w:id="57359670">
      <w:bodyDiv w:val="1"/>
      <w:marLeft w:val="0"/>
      <w:marRight w:val="0"/>
      <w:marTop w:val="0"/>
      <w:marBottom w:val="0"/>
      <w:divBdr>
        <w:top w:val="none" w:sz="0" w:space="0" w:color="auto"/>
        <w:left w:val="none" w:sz="0" w:space="0" w:color="auto"/>
        <w:bottom w:val="none" w:sz="0" w:space="0" w:color="auto"/>
        <w:right w:val="none" w:sz="0" w:space="0" w:color="auto"/>
      </w:divBdr>
    </w:div>
    <w:div w:id="106900673">
      <w:bodyDiv w:val="1"/>
      <w:marLeft w:val="0"/>
      <w:marRight w:val="0"/>
      <w:marTop w:val="0"/>
      <w:marBottom w:val="0"/>
      <w:divBdr>
        <w:top w:val="none" w:sz="0" w:space="0" w:color="auto"/>
        <w:left w:val="none" w:sz="0" w:space="0" w:color="auto"/>
        <w:bottom w:val="none" w:sz="0" w:space="0" w:color="auto"/>
        <w:right w:val="none" w:sz="0" w:space="0" w:color="auto"/>
      </w:divBdr>
    </w:div>
    <w:div w:id="208614367">
      <w:bodyDiv w:val="1"/>
      <w:marLeft w:val="0"/>
      <w:marRight w:val="0"/>
      <w:marTop w:val="0"/>
      <w:marBottom w:val="0"/>
      <w:divBdr>
        <w:top w:val="none" w:sz="0" w:space="0" w:color="auto"/>
        <w:left w:val="none" w:sz="0" w:space="0" w:color="auto"/>
        <w:bottom w:val="none" w:sz="0" w:space="0" w:color="auto"/>
        <w:right w:val="none" w:sz="0" w:space="0" w:color="auto"/>
      </w:divBdr>
    </w:div>
    <w:div w:id="346373735">
      <w:bodyDiv w:val="1"/>
      <w:marLeft w:val="0"/>
      <w:marRight w:val="0"/>
      <w:marTop w:val="0"/>
      <w:marBottom w:val="0"/>
      <w:divBdr>
        <w:top w:val="none" w:sz="0" w:space="0" w:color="auto"/>
        <w:left w:val="none" w:sz="0" w:space="0" w:color="auto"/>
        <w:bottom w:val="none" w:sz="0" w:space="0" w:color="auto"/>
        <w:right w:val="none" w:sz="0" w:space="0" w:color="auto"/>
      </w:divBdr>
    </w:div>
    <w:div w:id="478574258">
      <w:bodyDiv w:val="1"/>
      <w:marLeft w:val="0"/>
      <w:marRight w:val="0"/>
      <w:marTop w:val="0"/>
      <w:marBottom w:val="0"/>
      <w:divBdr>
        <w:top w:val="none" w:sz="0" w:space="0" w:color="auto"/>
        <w:left w:val="none" w:sz="0" w:space="0" w:color="auto"/>
        <w:bottom w:val="none" w:sz="0" w:space="0" w:color="auto"/>
        <w:right w:val="none" w:sz="0" w:space="0" w:color="auto"/>
      </w:divBdr>
    </w:div>
    <w:div w:id="564998837">
      <w:bodyDiv w:val="1"/>
      <w:marLeft w:val="0"/>
      <w:marRight w:val="0"/>
      <w:marTop w:val="0"/>
      <w:marBottom w:val="0"/>
      <w:divBdr>
        <w:top w:val="none" w:sz="0" w:space="0" w:color="auto"/>
        <w:left w:val="none" w:sz="0" w:space="0" w:color="auto"/>
        <w:bottom w:val="none" w:sz="0" w:space="0" w:color="auto"/>
        <w:right w:val="none" w:sz="0" w:space="0" w:color="auto"/>
      </w:divBdr>
    </w:div>
    <w:div w:id="710688581">
      <w:bodyDiv w:val="1"/>
      <w:marLeft w:val="0"/>
      <w:marRight w:val="0"/>
      <w:marTop w:val="0"/>
      <w:marBottom w:val="0"/>
      <w:divBdr>
        <w:top w:val="none" w:sz="0" w:space="0" w:color="auto"/>
        <w:left w:val="none" w:sz="0" w:space="0" w:color="auto"/>
        <w:bottom w:val="none" w:sz="0" w:space="0" w:color="auto"/>
        <w:right w:val="none" w:sz="0" w:space="0" w:color="auto"/>
      </w:divBdr>
    </w:div>
    <w:div w:id="716441860">
      <w:bodyDiv w:val="1"/>
      <w:marLeft w:val="0"/>
      <w:marRight w:val="0"/>
      <w:marTop w:val="0"/>
      <w:marBottom w:val="0"/>
      <w:divBdr>
        <w:top w:val="none" w:sz="0" w:space="0" w:color="auto"/>
        <w:left w:val="none" w:sz="0" w:space="0" w:color="auto"/>
        <w:bottom w:val="none" w:sz="0" w:space="0" w:color="auto"/>
        <w:right w:val="none" w:sz="0" w:space="0" w:color="auto"/>
      </w:divBdr>
    </w:div>
    <w:div w:id="935165511">
      <w:bodyDiv w:val="1"/>
      <w:marLeft w:val="0"/>
      <w:marRight w:val="0"/>
      <w:marTop w:val="0"/>
      <w:marBottom w:val="0"/>
      <w:divBdr>
        <w:top w:val="none" w:sz="0" w:space="0" w:color="auto"/>
        <w:left w:val="none" w:sz="0" w:space="0" w:color="auto"/>
        <w:bottom w:val="none" w:sz="0" w:space="0" w:color="auto"/>
        <w:right w:val="none" w:sz="0" w:space="0" w:color="auto"/>
      </w:divBdr>
    </w:div>
    <w:div w:id="1195849110">
      <w:bodyDiv w:val="1"/>
      <w:marLeft w:val="0"/>
      <w:marRight w:val="0"/>
      <w:marTop w:val="0"/>
      <w:marBottom w:val="0"/>
      <w:divBdr>
        <w:top w:val="none" w:sz="0" w:space="0" w:color="auto"/>
        <w:left w:val="none" w:sz="0" w:space="0" w:color="auto"/>
        <w:bottom w:val="none" w:sz="0" w:space="0" w:color="auto"/>
        <w:right w:val="none" w:sz="0" w:space="0" w:color="auto"/>
      </w:divBdr>
    </w:div>
    <w:div w:id="1328173918">
      <w:bodyDiv w:val="1"/>
      <w:marLeft w:val="0"/>
      <w:marRight w:val="0"/>
      <w:marTop w:val="100"/>
      <w:marBottom w:val="100"/>
      <w:divBdr>
        <w:top w:val="none" w:sz="0" w:space="0" w:color="auto"/>
        <w:left w:val="none" w:sz="0" w:space="0" w:color="auto"/>
        <w:bottom w:val="none" w:sz="0" w:space="0" w:color="auto"/>
        <w:right w:val="none" w:sz="0" w:space="0" w:color="auto"/>
      </w:divBdr>
      <w:divsChild>
        <w:div w:id="1249195874">
          <w:marLeft w:val="0"/>
          <w:marRight w:val="0"/>
          <w:marTop w:val="0"/>
          <w:marBottom w:val="0"/>
          <w:divBdr>
            <w:top w:val="none" w:sz="0" w:space="0" w:color="auto"/>
            <w:left w:val="none" w:sz="0" w:space="0" w:color="auto"/>
            <w:bottom w:val="none" w:sz="0" w:space="0" w:color="auto"/>
            <w:right w:val="none" w:sz="0" w:space="0" w:color="auto"/>
          </w:divBdr>
          <w:divsChild>
            <w:div w:id="620653207">
              <w:marLeft w:val="0"/>
              <w:marRight w:val="0"/>
              <w:marTop w:val="900"/>
              <w:marBottom w:val="0"/>
              <w:divBdr>
                <w:top w:val="none" w:sz="0" w:space="0" w:color="auto"/>
                <w:left w:val="none" w:sz="0" w:space="0" w:color="auto"/>
                <w:bottom w:val="none" w:sz="0" w:space="0" w:color="auto"/>
                <w:right w:val="none" w:sz="0" w:space="0" w:color="auto"/>
              </w:divBdr>
              <w:divsChild>
                <w:div w:id="225645758">
                  <w:marLeft w:val="0"/>
                  <w:marRight w:val="0"/>
                  <w:marTop w:val="0"/>
                  <w:marBottom w:val="0"/>
                  <w:divBdr>
                    <w:top w:val="none" w:sz="0" w:space="0" w:color="auto"/>
                    <w:left w:val="none" w:sz="0" w:space="0" w:color="auto"/>
                    <w:bottom w:val="none" w:sz="0" w:space="0" w:color="auto"/>
                    <w:right w:val="none" w:sz="0" w:space="0" w:color="auto"/>
                  </w:divBdr>
                </w:div>
                <w:div w:id="1152138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7308880">
      <w:bodyDiv w:val="1"/>
      <w:marLeft w:val="0"/>
      <w:marRight w:val="0"/>
      <w:marTop w:val="0"/>
      <w:marBottom w:val="0"/>
      <w:divBdr>
        <w:top w:val="none" w:sz="0" w:space="0" w:color="auto"/>
        <w:left w:val="none" w:sz="0" w:space="0" w:color="auto"/>
        <w:bottom w:val="none" w:sz="0" w:space="0" w:color="auto"/>
        <w:right w:val="none" w:sz="0" w:space="0" w:color="auto"/>
      </w:divBdr>
    </w:div>
    <w:div w:id="1949198110">
      <w:bodyDiv w:val="1"/>
      <w:marLeft w:val="0"/>
      <w:marRight w:val="0"/>
      <w:marTop w:val="0"/>
      <w:marBottom w:val="0"/>
      <w:divBdr>
        <w:top w:val="none" w:sz="0" w:space="0" w:color="auto"/>
        <w:left w:val="none" w:sz="0" w:space="0" w:color="auto"/>
        <w:bottom w:val="none" w:sz="0" w:space="0" w:color="auto"/>
        <w:right w:val="none" w:sz="0" w:space="0" w:color="auto"/>
      </w:divBdr>
    </w:div>
    <w:div w:id="1966034545">
      <w:bodyDiv w:val="1"/>
      <w:marLeft w:val="0"/>
      <w:marRight w:val="0"/>
      <w:marTop w:val="0"/>
      <w:marBottom w:val="0"/>
      <w:divBdr>
        <w:top w:val="none" w:sz="0" w:space="0" w:color="auto"/>
        <w:left w:val="none" w:sz="0" w:space="0" w:color="auto"/>
        <w:bottom w:val="none" w:sz="0" w:space="0" w:color="auto"/>
        <w:right w:val="none" w:sz="0" w:space="0" w:color="auto"/>
      </w:divBdr>
    </w:div>
    <w:div w:id="19727866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26" Type="http://schemas.openxmlformats.org/officeDocument/2006/relationships/hyperlink" Target="https://www.census.gov/foreign-trade/statistics/historical/index.html" TargetMode="External"/><Relationship Id="rId39" Type="http://schemas.openxmlformats.org/officeDocument/2006/relationships/fontTable" Target="fontTable.xml"/><Relationship Id="rId3" Type="http://schemas.openxmlformats.org/officeDocument/2006/relationships/customXml" Target="../customXml/item2.xml"/><Relationship Id="rId21" Type="http://schemas.openxmlformats.org/officeDocument/2006/relationships/hyperlink" Target="http://www.bea.gov/newsreleases/international/trade/tradnewsrelease.htm" TargetMode="External"/><Relationship Id="rId34" Type="http://schemas.openxmlformats.org/officeDocument/2006/relationships/hyperlink" Target="http://www.bea.gov/newsreleases/international/trade/tradnewsrelease.htm"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5" Type="http://schemas.openxmlformats.org/officeDocument/2006/relationships/hyperlink" Target="mailto:InternationalAccounts@bea.gov" TargetMode="External"/><Relationship Id="rId33" Type="http://schemas.openxmlformats.org/officeDocument/2006/relationships/hyperlink" Target="http://www.census.gov/ft900" TargetMode="External"/><Relationship Id="rId38" Type="http://schemas.openxmlformats.org/officeDocument/2006/relationships/hyperlink" Target="https://fred.stlouisfed.org/fred-mobile/index.php?utm_source=census&amp;utm_medium=pdf&amp;utm_campaign=mobile_app" TargetMode="External"/><Relationship Id="rId2" Type="http://schemas.openxmlformats.org/officeDocument/2006/relationships/customXml" Target="../customXml/item1.xml"/><Relationship Id="rId16" Type="http://schemas.openxmlformats.org/officeDocument/2006/relationships/footer" Target="footer2.xml"/><Relationship Id="rId20" Type="http://schemas.openxmlformats.org/officeDocument/2006/relationships/image" Target="media/image4.png"/><Relationship Id="rId29" Type="http://schemas.openxmlformats.org/officeDocument/2006/relationships/hyperlink" Target="http://www.bea.gov/scb/index.htm" TargetMode="Externa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24" Type="http://schemas.openxmlformats.org/officeDocument/2006/relationships/hyperlink" Target="https://www.bea.gov/scb/index.htm" TargetMode="External"/><Relationship Id="rId32" Type="http://schemas.openxmlformats.org/officeDocument/2006/relationships/hyperlink" Target="http://www.bea.gov/scb/pdf/2008/05%20May/0508_methods.pdf" TargetMode="External"/><Relationship Id="rId37" Type="http://schemas.openxmlformats.org/officeDocument/2006/relationships/image" Target="media/image5.jpeg"/><Relationship Id="rId40" Type="http://schemas.openxmlformats.org/officeDocument/2006/relationships/theme" Target="theme/theme1.xml"/><Relationship Id="rId5" Type="http://schemas.openxmlformats.org/officeDocument/2006/relationships/customXml" Target="../customXml/item4.xml"/><Relationship Id="rId15" Type="http://schemas.openxmlformats.org/officeDocument/2006/relationships/footer" Target="footer1.xml"/><Relationship Id="rId23" Type="http://schemas.openxmlformats.org/officeDocument/2006/relationships/hyperlink" Target="https://www.bea.gov/iTable/index_ita.cfm" TargetMode="External"/><Relationship Id="rId28" Type="http://schemas.openxmlformats.org/officeDocument/2006/relationships/hyperlink" Target="http://www.census.gov/foreign-trade/aip/quality_profile10032014.pdf" TargetMode="External"/><Relationship Id="rId36" Type="http://schemas.openxmlformats.org/officeDocument/2006/relationships/hyperlink" Target="https://www.bea.gov/API/signup/index.cfm" TargetMode="External"/><Relationship Id="rId10" Type="http://schemas.openxmlformats.org/officeDocument/2006/relationships/webSettings" Target="webSettings.xml"/><Relationship Id="rId19" Type="http://schemas.openxmlformats.org/officeDocument/2006/relationships/chart" Target="charts/chart1.xml"/><Relationship Id="rId31" Type="http://schemas.openxmlformats.org/officeDocument/2006/relationships/hyperlink" Target="http://www.bea.gov/iTable/iTableHtml.cfm?reqid=62&amp;step=6&amp;isuri=1&amp;6210=1&amp;6200=48" TargetMode="Externa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header" Target="header2.xml"/><Relationship Id="rId22" Type="http://schemas.openxmlformats.org/officeDocument/2006/relationships/hyperlink" Target="http://www.census.gov/economic-indicators/" TargetMode="External"/><Relationship Id="rId27" Type="http://schemas.openxmlformats.org/officeDocument/2006/relationships/hyperlink" Target="mailto:eid.international.trade.data@census.gov" TargetMode="External"/><Relationship Id="rId30" Type="http://schemas.openxmlformats.org/officeDocument/2006/relationships/hyperlink" Target="http://www.bea.gov/iTable/iTable.cfm?reqid=62&amp;step=9&amp;isuri=1&amp;6210=4" TargetMode="External"/><Relationship Id="rId35" Type="http://schemas.openxmlformats.org/officeDocument/2006/relationships/hyperlink" Target="file:///\\It171oafs-oa05.boc.ad.census.gov\eid_share\EID%20Coord%20Staff\Standardization\International%20Trade\www.census.gov\developers\" TargetMode="External"/></Relationships>
</file>

<file path=word/_rels/footer2.xml.rels><?xml version="1.0" encoding="UTF-8" standalone="yes"?>
<Relationships xmlns="http://schemas.openxmlformats.org/package/2006/relationships"><Relationship Id="rId3" Type="http://schemas.openxmlformats.org/officeDocument/2006/relationships/hyperlink" Target="mailto:InternationalAccounts@bea.gov" TargetMode="External"/><Relationship Id="rId2" Type="http://schemas.openxmlformats.org/officeDocument/2006/relationships/hyperlink" Target="http://www.census.gov/manufacturing/m3" TargetMode="External"/><Relationship Id="rId1" Type="http://schemas.openxmlformats.org/officeDocument/2006/relationships/hyperlink" Target="mailto:eid.international.trade.data@census.gov" TargetMode="External"/><Relationship Id="rId5" Type="http://schemas.openxmlformats.org/officeDocument/2006/relationships/image" Target="media/image2.png"/><Relationship Id="rId4" Type="http://schemas.openxmlformats.org/officeDocument/2006/relationships/image" Target="media/image1.jpg"/></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ftd003fs\ftd53\tdsb2\Press%20Release\Current\External%20Reports\BEA\trad0218_char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sz="1400" b="1"/>
            </a:pPr>
            <a:r>
              <a:rPr lang="en-US" sz="900" b="1"/>
              <a:t>Goods and Services Trade Deficit</a:t>
            </a:r>
          </a:p>
          <a:p>
            <a:pPr>
              <a:defRPr sz="1400" b="1"/>
            </a:pPr>
            <a:r>
              <a:rPr lang="en-US" sz="700" b="0"/>
              <a:t>Seasonally</a:t>
            </a:r>
            <a:r>
              <a:rPr lang="en-US" sz="700" b="0" baseline="0"/>
              <a:t> adjusted</a:t>
            </a:r>
          </a:p>
        </c:rich>
      </c:tx>
      <c:layout>
        <c:manualLayout>
          <c:xMode val="edge"/>
          <c:yMode val="edge"/>
          <c:x val="0.20606187712880034"/>
          <c:y val="9.9750649350649357E-3"/>
        </c:manualLayout>
      </c:layout>
      <c:overlay val="0"/>
    </c:title>
    <c:autoTitleDeleted val="0"/>
    <c:plotArea>
      <c:layout>
        <c:manualLayout>
          <c:layoutTarget val="inner"/>
          <c:xMode val="edge"/>
          <c:yMode val="edge"/>
          <c:x val="0.12892109246877759"/>
          <c:y val="0.16811006828141736"/>
          <c:w val="0.74215781506244483"/>
          <c:h val="0.60617298701298705"/>
        </c:manualLayout>
      </c:layout>
      <c:lineChart>
        <c:grouping val="standard"/>
        <c:varyColors val="0"/>
        <c:ser>
          <c:idx val="0"/>
          <c:order val="0"/>
          <c:tx>
            <c:strRef>
              <c:f>ForReleaseChart!$F$3</c:f>
              <c:strCache>
                <c:ptCount val="1"/>
              </c:strCache>
            </c:strRef>
          </c:tx>
          <c:spPr>
            <a:ln>
              <a:solidFill>
                <a:srgbClr val="5B9BD5"/>
              </a:solidFill>
            </a:ln>
          </c:spPr>
          <c:marker>
            <c:symbol val="none"/>
          </c:marker>
          <c:dLbls>
            <c:dLbl>
              <c:idx val="12"/>
              <c:layout>
                <c:manualLayout>
                  <c:x val="-0.31819703192720505"/>
                  <c:y val="-4.2249583188893838E-2"/>
                </c:manualLayout>
              </c:layout>
              <c:tx>
                <c:rich>
                  <a:bodyPr/>
                  <a:lstStyle/>
                  <a:p>
                    <a:r>
                      <a:rPr lang="en-US" sz="600" b="1">
                        <a:solidFill>
                          <a:srgbClr val="5B9BD5"/>
                        </a:solidFill>
                      </a:rPr>
                      <a:t>Monthly deficit</a:t>
                    </a:r>
                    <a:endParaRPr lang="en-US" sz="900"/>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0-FA71-42F2-9FD4-23EB38D30C86}"/>
                </c:ext>
              </c:extLst>
            </c:dLbl>
            <c:spPr>
              <a:noFill/>
              <a:ln>
                <a:noFill/>
              </a:ln>
              <a:effectLst/>
            </c:spPr>
            <c:txPr>
              <a:bodyPr/>
              <a:lstStyle/>
              <a:p>
                <a:pPr>
                  <a:defRPr sz="500" b="1" baseline="0">
                    <a:solidFill>
                      <a:srgbClr val="5B9BD5"/>
                    </a:solidFill>
                  </a:defRPr>
                </a:pPr>
                <a:endParaRPr lang="en-US"/>
              </a:p>
            </c:txPr>
            <c:showLegendKey val="0"/>
            <c:showVal val="0"/>
            <c:showCatName val="0"/>
            <c:showSerName val="0"/>
            <c:showPercent val="0"/>
            <c:showBubbleSize val="0"/>
            <c:extLst>
              <c:ext xmlns:c15="http://schemas.microsoft.com/office/drawing/2012/chart" uri="{CE6537A1-D6FC-4f65-9D91-7224C49458BB}">
                <c15:showLeaderLines val="0"/>
              </c:ext>
            </c:extLst>
          </c:dLbls>
          <c:cat>
            <c:strRef>
              <c:f>ForReleaseChart!$E$20:$E$44</c:f>
              <c:strCache>
                <c:ptCount val="25"/>
                <c:pt idx="0">
                  <c:v>February 2016</c:v>
                </c:pt>
                <c:pt idx="12">
                  <c:v>February 2017</c:v>
                </c:pt>
                <c:pt idx="24">
                  <c:v>February 2018</c:v>
                </c:pt>
              </c:strCache>
            </c:strRef>
          </c:cat>
          <c:val>
            <c:numRef>
              <c:f>ForReleaseChart!$F$20:$F$44</c:f>
              <c:numCache>
                <c:formatCode>0</c:formatCode>
                <c:ptCount val="25"/>
                <c:pt idx="0">
                  <c:v>45.289790084695753</c:v>
                </c:pt>
                <c:pt idx="1">
                  <c:v>37.37988741375306</c:v>
                </c:pt>
                <c:pt idx="2">
                  <c:v>38.421745752228581</c:v>
                </c:pt>
                <c:pt idx="3">
                  <c:v>41.520189346225436</c:v>
                </c:pt>
                <c:pt idx="4">
                  <c:v>43.834792870037866</c:v>
                </c:pt>
                <c:pt idx="5">
                  <c:v>41.294157303139869</c:v>
                </c:pt>
                <c:pt idx="6">
                  <c:v>41.129544389211858</c:v>
                </c:pt>
                <c:pt idx="7">
                  <c:v>38.465777747287127</c:v>
                </c:pt>
                <c:pt idx="8">
                  <c:v>43.068839845969975</c:v>
                </c:pt>
                <c:pt idx="9">
                  <c:v>46.37270905228899</c:v>
                </c:pt>
                <c:pt idx="10">
                  <c:v>44.606611504357289</c:v>
                </c:pt>
                <c:pt idx="11">
                  <c:v>48.692137077395167</c:v>
                </c:pt>
                <c:pt idx="12">
                  <c:v>44.42392068028304</c:v>
                </c:pt>
                <c:pt idx="13">
                  <c:v>44.728652854712891</c:v>
                </c:pt>
                <c:pt idx="14">
                  <c:v>48.057402733827168</c:v>
                </c:pt>
                <c:pt idx="15">
                  <c:v>47.792702456697086</c:v>
                </c:pt>
                <c:pt idx="16">
                  <c:v>45.59588191431137</c:v>
                </c:pt>
                <c:pt idx="17">
                  <c:v>45.385241461530612</c:v>
                </c:pt>
                <c:pt idx="18">
                  <c:v>44.581512451383603</c:v>
                </c:pt>
                <c:pt idx="19">
                  <c:v>45.298176328916732</c:v>
                </c:pt>
                <c:pt idx="20">
                  <c:v>49.097919007852489</c:v>
                </c:pt>
                <c:pt idx="21">
                  <c:v>50.880363116527327</c:v>
                </c:pt>
                <c:pt idx="22">
                  <c:v>53.90804433314652</c:v>
                </c:pt>
                <c:pt idx="23">
                  <c:v>56.664583682180414</c:v>
                </c:pt>
                <c:pt idx="24">
                  <c:v>57.591494493779734</c:v>
                </c:pt>
              </c:numCache>
            </c:numRef>
          </c:val>
          <c:smooth val="0"/>
          <c:extLst>
            <c:ext xmlns:c16="http://schemas.microsoft.com/office/drawing/2014/chart" uri="{C3380CC4-5D6E-409C-BE32-E72D297353CC}">
              <c16:uniqueId val="{00000001-FA71-42F2-9FD4-23EB38D30C86}"/>
            </c:ext>
          </c:extLst>
        </c:ser>
        <c:ser>
          <c:idx val="1"/>
          <c:order val="1"/>
          <c:tx>
            <c:strRef>
              <c:f>ForReleaseChart!$G$3</c:f>
              <c:strCache>
                <c:ptCount val="1"/>
              </c:strCache>
            </c:strRef>
          </c:tx>
          <c:spPr>
            <a:ln>
              <a:solidFill>
                <a:srgbClr val="ED7D31"/>
              </a:solidFill>
            </a:ln>
          </c:spPr>
          <c:marker>
            <c:symbol val="none"/>
          </c:marker>
          <c:dLbls>
            <c:dLbl>
              <c:idx val="17"/>
              <c:layout>
                <c:manualLayout>
                  <c:x val="-0.28052378719230703"/>
                  <c:y val="9.9979984813219042E-2"/>
                </c:manualLayout>
              </c:layout>
              <c:tx>
                <c:rich>
                  <a:bodyPr/>
                  <a:lstStyle/>
                  <a:p>
                    <a:r>
                      <a:rPr lang="en-US" sz="600" b="1">
                        <a:solidFill>
                          <a:srgbClr val="ED7D31"/>
                        </a:solidFill>
                      </a:rPr>
                      <a:t>Three</a:t>
                    </a:r>
                    <a:r>
                      <a:rPr lang="en-US" sz="600" b="1" baseline="0">
                        <a:solidFill>
                          <a:srgbClr val="ED7D31"/>
                        </a:solidFill>
                      </a:rPr>
                      <a:t>-month moving average</a:t>
                    </a:r>
                    <a:endParaRPr lang="en-US"/>
                  </a:p>
                </c:rich>
              </c:tx>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2-FA71-42F2-9FD4-23EB38D30C86}"/>
                </c:ext>
              </c:extLst>
            </c:dLbl>
            <c:spPr>
              <a:noFill/>
              <a:ln>
                <a:noFill/>
              </a:ln>
              <a:effectLst/>
            </c:spPr>
            <c:txPr>
              <a:bodyPr/>
              <a:lstStyle/>
              <a:p>
                <a:pPr>
                  <a:defRPr sz="500" b="1" baseline="0">
                    <a:solidFill>
                      <a:srgbClr val="ED7D31"/>
                    </a:solidFill>
                  </a:defRPr>
                </a:pPr>
                <a:endParaRPr lang="en-US"/>
              </a:p>
            </c:txPr>
            <c:showLegendKey val="0"/>
            <c:showVal val="0"/>
            <c:showCatName val="0"/>
            <c:showSerName val="0"/>
            <c:showPercent val="0"/>
            <c:showBubbleSize val="0"/>
            <c:extLst>
              <c:ext xmlns:c15="http://schemas.microsoft.com/office/drawing/2012/chart" uri="{CE6537A1-D6FC-4f65-9D91-7224C49458BB}">
                <c15:showLeaderLines val="0"/>
              </c:ext>
            </c:extLst>
          </c:dLbls>
          <c:cat>
            <c:strRef>
              <c:f>ForReleaseChart!$E$20:$E$44</c:f>
              <c:strCache>
                <c:ptCount val="25"/>
                <c:pt idx="0">
                  <c:v>February 2016</c:v>
                </c:pt>
                <c:pt idx="12">
                  <c:v>February 2017</c:v>
                </c:pt>
                <c:pt idx="24">
                  <c:v>February 2018</c:v>
                </c:pt>
              </c:strCache>
            </c:strRef>
          </c:cat>
          <c:val>
            <c:numRef>
              <c:f>ForReleaseChart!$G$20:$G$44</c:f>
              <c:numCache>
                <c:formatCode>0</c:formatCode>
                <c:ptCount val="25"/>
                <c:pt idx="0">
                  <c:v>43.274672005957441</c:v>
                </c:pt>
                <c:pt idx="1">
                  <c:v>42.026357196577933</c:v>
                </c:pt>
                <c:pt idx="2">
                  <c:v>40.363807750225803</c:v>
                </c:pt>
                <c:pt idx="3">
                  <c:v>39.1072741707357</c:v>
                </c:pt>
                <c:pt idx="4">
                  <c:v>41.258909322830633</c:v>
                </c:pt>
                <c:pt idx="5">
                  <c:v>42.216379839801057</c:v>
                </c:pt>
                <c:pt idx="6">
                  <c:v>42.086164854129862</c:v>
                </c:pt>
                <c:pt idx="7">
                  <c:v>40.296493146546283</c:v>
                </c:pt>
                <c:pt idx="8">
                  <c:v>40.888053994156323</c:v>
                </c:pt>
                <c:pt idx="9">
                  <c:v>42.635775548515369</c:v>
                </c:pt>
                <c:pt idx="10">
                  <c:v>44.682720134205418</c:v>
                </c:pt>
                <c:pt idx="11">
                  <c:v>46.557152544680484</c:v>
                </c:pt>
                <c:pt idx="12">
                  <c:v>45.907556420678496</c:v>
                </c:pt>
                <c:pt idx="13">
                  <c:v>45.948236870797032</c:v>
                </c:pt>
                <c:pt idx="14">
                  <c:v>45.736658756274359</c:v>
                </c:pt>
                <c:pt idx="15">
                  <c:v>46.859586015079053</c:v>
                </c:pt>
                <c:pt idx="16">
                  <c:v>47.148662368278544</c:v>
                </c:pt>
                <c:pt idx="17">
                  <c:v>46.257941944179684</c:v>
                </c:pt>
                <c:pt idx="18">
                  <c:v>45.187545275741861</c:v>
                </c:pt>
                <c:pt idx="19">
                  <c:v>45.088310080610313</c:v>
                </c:pt>
                <c:pt idx="20">
                  <c:v>46.325869262717603</c:v>
                </c:pt>
                <c:pt idx="21">
                  <c:v>48.425486151098852</c:v>
                </c:pt>
                <c:pt idx="22">
                  <c:v>51.295442152508791</c:v>
                </c:pt>
                <c:pt idx="23">
                  <c:v>53.817663710618078</c:v>
                </c:pt>
                <c:pt idx="24">
                  <c:v>56.054707503035559</c:v>
                </c:pt>
              </c:numCache>
            </c:numRef>
          </c:val>
          <c:smooth val="0"/>
          <c:extLst>
            <c:ext xmlns:c16="http://schemas.microsoft.com/office/drawing/2014/chart" uri="{C3380CC4-5D6E-409C-BE32-E72D297353CC}">
              <c16:uniqueId val="{00000003-FA71-42F2-9FD4-23EB38D30C86}"/>
            </c:ext>
          </c:extLst>
        </c:ser>
        <c:dLbls>
          <c:showLegendKey val="0"/>
          <c:showVal val="0"/>
          <c:showCatName val="0"/>
          <c:showSerName val="0"/>
          <c:showPercent val="0"/>
          <c:showBubbleSize val="0"/>
        </c:dLbls>
        <c:smooth val="0"/>
        <c:axId val="243391488"/>
        <c:axId val="243983104"/>
      </c:lineChart>
      <c:catAx>
        <c:axId val="243391488"/>
        <c:scaling>
          <c:orientation val="minMax"/>
        </c:scaling>
        <c:delete val="0"/>
        <c:axPos val="b"/>
        <c:numFmt formatCode="General" sourceLinked="1"/>
        <c:majorTickMark val="in"/>
        <c:minorTickMark val="none"/>
        <c:tickLblPos val="nextTo"/>
        <c:txPr>
          <a:bodyPr/>
          <a:lstStyle/>
          <a:p>
            <a:pPr>
              <a:defRPr sz="700" baseline="0"/>
            </a:pPr>
            <a:endParaRPr lang="en-US"/>
          </a:p>
        </c:txPr>
        <c:crossAx val="243983104"/>
        <c:crossesAt val="30"/>
        <c:auto val="1"/>
        <c:lblAlgn val="ctr"/>
        <c:lblOffset val="100"/>
        <c:tickLblSkip val="12"/>
        <c:noMultiLvlLbl val="0"/>
      </c:catAx>
      <c:valAx>
        <c:axId val="243983104"/>
        <c:scaling>
          <c:orientation val="minMax"/>
          <c:max val="65"/>
          <c:min val="30"/>
        </c:scaling>
        <c:delete val="0"/>
        <c:axPos val="l"/>
        <c:majorGridlines>
          <c:spPr>
            <a:ln w="3175">
              <a:solidFill>
                <a:srgbClr val="DCDEDF"/>
              </a:solidFill>
            </a:ln>
          </c:spPr>
        </c:majorGridlines>
        <c:title>
          <c:tx>
            <c:rich>
              <a:bodyPr rot="0" vert="horz"/>
              <a:lstStyle/>
              <a:p>
                <a:pPr>
                  <a:defRPr sz="700" b="0" baseline="0"/>
                </a:pPr>
                <a:r>
                  <a:rPr lang="en-US" sz="700" b="0" baseline="0"/>
                  <a:t>Billion $</a:t>
                </a:r>
              </a:p>
            </c:rich>
          </c:tx>
          <c:layout>
            <c:manualLayout>
              <c:xMode val="edge"/>
              <c:yMode val="edge"/>
              <c:x val="2.4737091581131607E-3"/>
              <c:y val="6.8457613199293485E-2"/>
            </c:manualLayout>
          </c:layout>
          <c:overlay val="0"/>
        </c:title>
        <c:numFmt formatCode="0" sourceLinked="1"/>
        <c:majorTickMark val="none"/>
        <c:minorTickMark val="none"/>
        <c:tickLblPos val="nextTo"/>
        <c:txPr>
          <a:bodyPr/>
          <a:lstStyle/>
          <a:p>
            <a:pPr>
              <a:defRPr sz="700" baseline="0"/>
            </a:pPr>
            <a:endParaRPr lang="en-US"/>
          </a:p>
        </c:txPr>
        <c:crossAx val="243391488"/>
        <c:crosses val="autoZero"/>
        <c:crossBetween val="midCat"/>
        <c:majorUnit val="5"/>
      </c:valAx>
    </c:plotArea>
    <c:plotVisOnly val="1"/>
    <c:dispBlanksAs val="gap"/>
    <c:showDLblsOverMax val="0"/>
  </c:chart>
  <c:spPr>
    <a:ln>
      <a:solidFill>
        <a:schemeClr val="tx1"/>
      </a:solidFill>
    </a:ln>
  </c:spPr>
  <c:externalData r:id="rId1">
    <c:autoUpdate val="0"/>
  </c:externalData>
  <c:userShapes r:id="rId2"/>
</c:chartSpace>
</file>

<file path=word/drawings/_rels/drawing1.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drawings/drawing1.xml><?xml version="1.0" encoding="utf-8"?>
<c:userShapes xmlns:c="http://schemas.openxmlformats.org/drawingml/2006/chart">
  <cdr:relSizeAnchor xmlns:cdr="http://schemas.openxmlformats.org/drawingml/2006/chartDrawing">
    <cdr:from>
      <cdr:x>0.06256</cdr:x>
      <cdr:y>0.74057</cdr:y>
    </cdr:from>
    <cdr:to>
      <cdr:x>0.1049</cdr:x>
      <cdr:y>0.79438</cdr:y>
    </cdr:to>
    <cdr:sp macro="" textlink="">
      <cdr:nvSpPr>
        <cdr:cNvPr id="3" name="Rectangle 2"/>
        <cdr:cNvSpPr/>
      </cdr:nvSpPr>
      <cdr:spPr>
        <a:xfrm xmlns:a="http://schemas.openxmlformats.org/drawingml/2006/main">
          <a:off x="202324" y="1489581"/>
          <a:ext cx="136922" cy="108238"/>
        </a:xfrm>
        <a:prstGeom xmlns:a="http://schemas.openxmlformats.org/drawingml/2006/main" prst="rect">
          <a:avLst/>
        </a:prstGeom>
        <a:solidFill xmlns:a="http://schemas.openxmlformats.org/drawingml/2006/main">
          <a:schemeClr val="bg1"/>
        </a:solidFill>
        <a:ln xmlns:a="http://schemas.openxmlformats.org/drawingml/2006/main">
          <a:noFill/>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lIns="0" tIns="0" rIns="0" bIns="0"/>
        <a:lstStyle xmlns:a="http://schemas.openxmlformats.org/drawingml/2006/main"/>
        <a:p xmlns:a="http://schemas.openxmlformats.org/drawingml/2006/main">
          <a:r>
            <a:rPr lang="en-US" sz="800">
              <a:solidFill>
                <a:sysClr val="windowText" lastClr="000000"/>
              </a:solidFill>
            </a:rPr>
            <a:t>   </a:t>
          </a:r>
          <a:r>
            <a:rPr lang="en-US" sz="700">
              <a:solidFill>
                <a:sysClr val="windowText" lastClr="000000"/>
              </a:solidFill>
            </a:rPr>
            <a:t>0</a:t>
          </a:r>
        </a:p>
      </cdr:txBody>
    </cdr:sp>
  </cdr:relSizeAnchor>
  <cdr:relSizeAnchor xmlns:cdr="http://schemas.openxmlformats.org/drawingml/2006/chartDrawing">
    <cdr:from>
      <cdr:x>0.44967</cdr:x>
      <cdr:y>0.85697</cdr:y>
    </cdr:from>
    <cdr:to>
      <cdr:x>0.99661</cdr:x>
      <cdr:y>0.99213</cdr:y>
    </cdr:to>
    <cdr:sp macro="" textlink="">
      <cdr:nvSpPr>
        <cdr:cNvPr id="5" name="TextBox 1"/>
        <cdr:cNvSpPr txBox="1"/>
      </cdr:nvSpPr>
      <cdr:spPr>
        <a:xfrm xmlns:a="http://schemas.openxmlformats.org/drawingml/2006/main">
          <a:off x="1426789" y="1661260"/>
          <a:ext cx="1735429" cy="262012"/>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r"/>
          <a:r>
            <a:rPr lang="en-US" sz="600">
              <a:solidFill>
                <a:sysClr val="windowText" lastClr="000000"/>
              </a:solidFill>
            </a:rPr>
            <a:t>U.S.</a:t>
          </a:r>
          <a:r>
            <a:rPr lang="en-US" sz="600" baseline="0">
              <a:solidFill>
                <a:sysClr val="windowText" lastClr="000000"/>
              </a:solidFill>
            </a:rPr>
            <a:t> International Trade in Goods and Services</a:t>
          </a:r>
        </a:p>
        <a:p xmlns:a="http://schemas.openxmlformats.org/drawingml/2006/main">
          <a:pPr algn="r"/>
          <a:r>
            <a:rPr lang="en-US" sz="600" baseline="0">
              <a:solidFill>
                <a:sysClr val="windowText" lastClr="000000"/>
              </a:solidFill>
            </a:rPr>
            <a:t>April 5, 2018</a:t>
          </a:r>
        </a:p>
      </cdr:txBody>
    </cdr:sp>
  </cdr:relSizeAnchor>
  <cdr:relSizeAnchor xmlns:cdr="http://schemas.openxmlformats.org/drawingml/2006/chartDrawing">
    <cdr:from>
      <cdr:x>0</cdr:x>
      <cdr:y>0.85697</cdr:y>
    </cdr:from>
    <cdr:to>
      <cdr:x>0.5291</cdr:x>
      <cdr:y>0.99213</cdr:y>
    </cdr:to>
    <cdr:sp macro="" textlink="">
      <cdr:nvSpPr>
        <cdr:cNvPr id="7" name="TextBox 1"/>
        <cdr:cNvSpPr txBox="1"/>
      </cdr:nvSpPr>
      <cdr:spPr>
        <a:xfrm xmlns:a="http://schemas.openxmlformats.org/drawingml/2006/main">
          <a:off x="0" y="1661260"/>
          <a:ext cx="1678817" cy="262012"/>
        </a:xfrm>
        <a:prstGeom xmlns:a="http://schemas.openxmlformats.org/drawingml/2006/main" prst="rect">
          <a:avLst/>
        </a:prstGeom>
      </cdr:spPr>
      <cdr:txBody>
        <a:bodyPr xmlns:a="http://schemas.openxmlformats.org/drawingml/2006/main" wrap="none" rtlCol="0"/>
        <a:lstStyle xmlns:a="http://schemas.openxmlformats.org/drawingml/2006/main">
          <a:lvl1pPr marL="0" indent="0">
            <a:defRPr sz="1100">
              <a:latin typeface="+mn-lt"/>
              <a:ea typeface="+mn-ea"/>
              <a:cs typeface="+mn-cs"/>
            </a:defRPr>
          </a:lvl1pPr>
          <a:lvl2pPr marL="457200" indent="0">
            <a:defRPr sz="1100">
              <a:latin typeface="+mn-lt"/>
              <a:ea typeface="+mn-ea"/>
              <a:cs typeface="+mn-cs"/>
            </a:defRPr>
          </a:lvl2pPr>
          <a:lvl3pPr marL="914400" indent="0">
            <a:defRPr sz="1100">
              <a:latin typeface="+mn-lt"/>
              <a:ea typeface="+mn-ea"/>
              <a:cs typeface="+mn-cs"/>
            </a:defRPr>
          </a:lvl3pPr>
          <a:lvl4pPr marL="1371600" indent="0">
            <a:defRPr sz="1100">
              <a:latin typeface="+mn-lt"/>
              <a:ea typeface="+mn-ea"/>
              <a:cs typeface="+mn-cs"/>
            </a:defRPr>
          </a:lvl4pPr>
          <a:lvl5pPr marL="1828800" indent="0">
            <a:defRPr sz="1100">
              <a:latin typeface="+mn-lt"/>
              <a:ea typeface="+mn-ea"/>
              <a:cs typeface="+mn-cs"/>
            </a:defRPr>
          </a:lvl5pPr>
          <a:lvl6pPr marL="2286000" indent="0">
            <a:defRPr sz="1100">
              <a:latin typeface="+mn-lt"/>
              <a:ea typeface="+mn-ea"/>
              <a:cs typeface="+mn-cs"/>
            </a:defRPr>
          </a:lvl6pPr>
          <a:lvl7pPr marL="2743200" indent="0">
            <a:defRPr sz="1100">
              <a:latin typeface="+mn-lt"/>
              <a:ea typeface="+mn-ea"/>
              <a:cs typeface="+mn-cs"/>
            </a:defRPr>
          </a:lvl7pPr>
          <a:lvl8pPr marL="3200400" indent="0">
            <a:defRPr sz="1100">
              <a:latin typeface="+mn-lt"/>
              <a:ea typeface="+mn-ea"/>
              <a:cs typeface="+mn-cs"/>
            </a:defRPr>
          </a:lvl8pPr>
          <a:lvl9pPr marL="3657600" indent="0">
            <a:defRPr sz="1100">
              <a:latin typeface="+mn-lt"/>
              <a:ea typeface="+mn-ea"/>
              <a:cs typeface="+mn-cs"/>
            </a:defRPr>
          </a:lvl9pPr>
        </a:lstStyle>
        <a:p xmlns:a="http://schemas.openxmlformats.org/drawingml/2006/main">
          <a:pPr algn="l"/>
          <a:r>
            <a:rPr lang="en-US" sz="600">
              <a:solidFill>
                <a:sysClr val="windowText" lastClr="000000"/>
              </a:solidFill>
            </a:rPr>
            <a:t>U.S.</a:t>
          </a:r>
          <a:r>
            <a:rPr lang="en-US" sz="600" baseline="0">
              <a:solidFill>
                <a:sysClr val="windowText" lastClr="000000"/>
              </a:solidFill>
            </a:rPr>
            <a:t> Bureau of Economic Analysis</a:t>
          </a:r>
        </a:p>
        <a:p xmlns:a="http://schemas.openxmlformats.org/drawingml/2006/main">
          <a:pPr algn="l"/>
          <a:r>
            <a:rPr lang="en-US" sz="600" baseline="0">
              <a:solidFill>
                <a:sysClr val="windowText" lastClr="000000"/>
              </a:solidFill>
            </a:rPr>
            <a:t>U.S. Census Bureau</a:t>
          </a:r>
        </a:p>
      </cdr:txBody>
    </cdr:sp>
  </cdr:relSizeAnchor>
  <cdr:relSizeAnchor xmlns:cdr="http://schemas.openxmlformats.org/drawingml/2006/chartDrawing">
    <cdr:from>
      <cdr:x>0.10756</cdr:x>
      <cdr:y>0.69162</cdr:y>
    </cdr:from>
    <cdr:to>
      <cdr:x>0.1478</cdr:x>
      <cdr:y>0.75386</cdr:y>
    </cdr:to>
    <cdr:pic>
      <cdr:nvPicPr>
        <cdr:cNvPr id="8" name="Picture 7">
          <a:extLst xmlns:a="http://schemas.openxmlformats.org/drawingml/2006/main">
            <a:ext uri="{FF2B5EF4-FFF2-40B4-BE49-F238E27FC236}">
              <a16:creationId xmlns:a16="http://schemas.microsoft.com/office/drawing/2014/main" id="{3835E574-859A-494F-B3B2-D48561AFD490}"/>
            </a:ext>
          </a:extLst>
        </cdr:cNvPr>
        <cdr:cNvPicPr>
          <a:picLocks xmlns:a="http://schemas.openxmlformats.org/drawingml/2006/main" noChangeAspect="1"/>
        </cdr:cNvPicPr>
      </cdr:nvPicPr>
      <cdr:blipFill>
        <a:blip xmlns:a="http://schemas.openxmlformats.org/drawingml/2006/main" xmlns:r="http://schemas.openxmlformats.org/officeDocument/2006/relationships" r:embed="rId1" cstate="print">
          <a:extLst>
            <a:ext uri="{BEBA8EAE-BF5A-486C-A8C5-ECC9F3942E4B}">
              <a14:imgProps xmlns:a14="http://schemas.microsoft.com/office/drawing/2010/main">
                <a14:imgLayer r:embed="rId2">
                  <a14:imgEffect>
                    <a14:brightnessContrast bright="20000" contrast="-40000"/>
                  </a14:imgEffect>
                </a14:imgLayer>
              </a14:imgProps>
            </a:ext>
            <a:ext uri="{28A0092B-C50C-407E-A947-70E740481C1C}">
              <a14:useLocalDpi xmlns:a14="http://schemas.microsoft.com/office/drawing/2010/main" val="0"/>
            </a:ext>
          </a:extLst>
        </a:blip>
        <a:stretch xmlns:a="http://schemas.openxmlformats.org/drawingml/2006/main">
          <a:fillRect/>
        </a:stretch>
      </cdr:blipFill>
      <cdr:spPr>
        <a:xfrm xmlns:a="http://schemas.openxmlformats.org/drawingml/2006/main">
          <a:off x="341697" y="1330184"/>
          <a:ext cx="127834" cy="119706"/>
        </a:xfrm>
        <a:prstGeom xmlns:a="http://schemas.openxmlformats.org/drawingml/2006/main" prst="rect">
          <a:avLst/>
        </a:prstGeom>
      </cdr:spPr>
    </cdr:pic>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653CA223-AFDD-45FE-857B-D99B65785795}">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B88D10C07BF10E45A5750F42D95719FD" ma:contentTypeVersion="19" ma:contentTypeDescription="Create a new document." ma:contentTypeScope="" ma:versionID="73736f085d270f388ec939c1158a1672">
  <xsd:schema xmlns:xsd="http://www.w3.org/2001/XMLSchema" xmlns:xs="http://www.w3.org/2001/XMLSchema" xmlns:p="http://schemas.microsoft.com/office/2006/metadata/properties" targetNamespace="http://schemas.microsoft.com/office/2006/metadata/properties" ma:root="true" ma:fieldsID="8022916f55ab85163ee9a5069dec31d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11/19/2015 11:08:58 PM</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11/19/2015 11:08:58 PM</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11/19/2015 11:08:58 PM</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46247B-33F3-4576-97A8-021954BFA71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B5C5D82-4BA1-4476-9BB5-2ECF5CB23216}">
  <ds:schemaRefs>
    <ds:schemaRef ds:uri="http://schemas.microsoft.com/sharepoint/events"/>
  </ds:schemaRefs>
</ds:datastoreItem>
</file>

<file path=customXml/itemProps3.xml><?xml version="1.0" encoding="utf-8"?>
<ds:datastoreItem xmlns:ds="http://schemas.openxmlformats.org/officeDocument/2006/customXml" ds:itemID="{E39479DD-8E46-498B-A4A3-90D758419368}">
  <ds:schemaRefs>
    <ds:schemaRef ds:uri="http://schemas.microsoft.com/sharepoint/v3/contenttype/forms"/>
  </ds:schemaRefs>
</ds:datastoreItem>
</file>

<file path=customXml/itemProps4.xml><?xml version="1.0" encoding="utf-8"?>
<ds:datastoreItem xmlns:ds="http://schemas.openxmlformats.org/officeDocument/2006/customXml" ds:itemID="{2D367E6F-578F-4F4D-A909-03B8AB263DCA}">
  <ds:schemaRefs>
    <ds:schemaRef ds:uri="http://purl.org/dc/dcmitype/"/>
    <ds:schemaRef ds:uri="http://schemas.microsoft.com/office/infopath/2007/PartnerControls"/>
    <ds:schemaRef ds:uri="http://schemas.microsoft.com/office/2006/documentManagement/types"/>
    <ds:schemaRef ds:uri="http://purl.org/dc/elements/1.1/"/>
    <ds:schemaRef ds:uri="http://purl.org/dc/terms/"/>
    <ds:schemaRef ds:uri="http://schemas.openxmlformats.org/package/2006/metadata/core-properties"/>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EDAF8955-9427-4705-9897-8CE61AF59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B3F0F81F</Template>
  <TotalTime>196</TotalTime>
  <Pages>19</Pages>
  <Words>6742</Words>
  <Characters>38432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
    </vt:vector>
  </TitlesOfParts>
  <Company>U.S. Department of Commerce</Company>
  <LinksUpToDate>false</LinksUpToDate>
  <CharactersWithSpaces>45084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Joseph E Kafchinski</dc:creator>
  <cp:lastModifiedBy>Henock Kebede (CENSUS/EID FED)</cp:lastModifiedBy>
  <cp:revision>26</cp:revision>
  <cp:lastPrinted>2018-04-04T13:38:00Z</cp:lastPrinted>
  <dcterms:created xsi:type="dcterms:W3CDTF">2018-04-02T20:40:00Z</dcterms:created>
  <dcterms:modified xsi:type="dcterms:W3CDTF">2018-04-04T16:12:00Z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0x010100B88D10C07BF10E45A5750F42D95719FD</vt:lpwstr>
  </property>
  <property fmtid="{D5CDD505-2E9C-101B-9397-08002B2CF9AE}" pid="3" name="_AdHocReviewCycleID">
    <vt:i4>486907600</vt:i4>
  </property>
  <property fmtid="{D5CDD505-2E9C-101B-9397-08002B2CF9AE}" pid="4" name="_NewReviewCycle">
    <vt:lpwstr/>
  </property>
  <property fmtid="{D5CDD505-2E9C-101B-9397-08002B2CF9AE}" pid="5" name="_EmailSubject">
    <vt:lpwstr>FT-900 Release Standardization</vt:lpwstr>
  </property>
  <property fmtid="{D5CDD505-2E9C-101B-9397-08002B2CF9AE}" pid="6" name="_AuthorEmail">
    <vt:lpwstr>Mai-Chi.Hoang@bea.gov</vt:lpwstr>
  </property>
  <property fmtid="{D5CDD505-2E9C-101B-9397-08002B2CF9AE}" pid="7" name="_AuthorEmailDisplayName">
    <vt:lpwstr>Hoang, Mai-Chi</vt:lpwstr>
  </property>
  <property fmtid="{D5CDD505-2E9C-101B-9397-08002B2CF9AE}" pid="8" name="_PreviousAdHocReviewCycleID">
    <vt:i4>-1189352728</vt:i4>
  </property>
  <property fmtid="{D5CDD505-2E9C-101B-9397-08002B2CF9AE}" pid="9" name="_ReviewingToolsShownOnce">
    <vt:lpwstr/>
  </property>
</Properties>
</file>