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E91BE" w14:textId="73DB2F7A" w:rsidR="000C0B5C" w:rsidRPr="003E3755" w:rsidRDefault="000C0B5C" w:rsidP="00E53A3F">
      <w:pPr>
        <w:spacing w:after="240" w:line="240" w:lineRule="auto"/>
        <w:rPr>
          <w:rFonts w:ascii="Arial" w:hAnsi="Arial" w:cs="Arial"/>
          <w:b/>
        </w:rPr>
      </w:pPr>
      <w:r w:rsidRPr="000C0B5C">
        <w:rPr>
          <w:rFonts w:ascii="Arial" w:hAnsi="Arial" w:cs="Arial"/>
          <w:b/>
        </w:rPr>
        <w:t>FOR RELEA</w:t>
      </w:r>
      <w:r w:rsidR="00A95685">
        <w:rPr>
          <w:rFonts w:ascii="Arial" w:hAnsi="Arial" w:cs="Arial"/>
          <w:b/>
        </w:rPr>
        <w:t>SE AT 8:30 AM</w:t>
      </w:r>
      <w:r w:rsidR="003E3755">
        <w:rPr>
          <w:rFonts w:ascii="Arial" w:hAnsi="Arial" w:cs="Arial"/>
          <w:b/>
        </w:rPr>
        <w:t xml:space="preserve"> </w:t>
      </w:r>
      <w:r w:rsidR="001C1FC2" w:rsidRPr="001C1FC2">
        <w:rPr>
          <w:rFonts w:ascii="Arial" w:hAnsi="Arial" w:cs="Arial"/>
          <w:b/>
        </w:rPr>
        <w:t>EDT, FRIDAY, AUGUST 3, 2018</w:t>
      </w:r>
      <w:r w:rsidR="00E737BF">
        <w:rPr>
          <w:rFonts w:ascii="Arial" w:hAnsi="Arial" w:cs="Arial"/>
          <w:b/>
        </w:rPr>
        <w:t xml:space="preserve"> </w:t>
      </w:r>
    </w:p>
    <w:p w14:paraId="5B9C1ECB" w14:textId="6059F1A5" w:rsidR="003E3755" w:rsidRPr="003E3755" w:rsidRDefault="00F65176" w:rsidP="00E53A3F">
      <w:pPr>
        <w:spacing w:after="240" w:line="240" w:lineRule="auto"/>
        <w:rPr>
          <w:rFonts w:ascii="Arial" w:hAnsi="Arial" w:cs="Arial"/>
          <w:b/>
          <w:sz w:val="28"/>
          <w:szCs w:val="28"/>
        </w:rPr>
      </w:pPr>
      <w:r w:rsidRPr="006914F1">
        <w:rPr>
          <w:rFonts w:ascii="Arial" w:hAnsi="Arial" w:cs="Arial"/>
          <w:b/>
          <w:color w:val="000000" w:themeColor="text1"/>
          <w:sz w:val="28"/>
          <w:szCs w:val="28"/>
        </w:rPr>
        <w:t>MONTHLY</w:t>
      </w:r>
      <w:r w:rsidRPr="005B61C2">
        <w:rPr>
          <w:rFonts w:ascii="Arial" w:hAnsi="Arial" w:cs="Arial"/>
          <w:b/>
          <w:sz w:val="28"/>
          <w:szCs w:val="28"/>
        </w:rPr>
        <w:t xml:space="preserve"> </w:t>
      </w:r>
      <w:r w:rsidR="00FB4D77">
        <w:rPr>
          <w:rFonts w:ascii="Arial" w:hAnsi="Arial" w:cs="Arial"/>
          <w:b/>
          <w:sz w:val="28"/>
          <w:szCs w:val="28"/>
        </w:rPr>
        <w:t xml:space="preserve">U.S. INTERNATIONAL </w:t>
      </w:r>
      <w:r w:rsidR="00FB4D77" w:rsidRPr="00FB4D77">
        <w:rPr>
          <w:rFonts w:ascii="Arial" w:hAnsi="Arial" w:cs="Arial"/>
          <w:b/>
          <w:sz w:val="28"/>
          <w:szCs w:val="28"/>
        </w:rPr>
        <w:t>TRADE IN GOODS AND SERVICES</w:t>
      </w:r>
      <w:r w:rsidR="00FB4D77">
        <w:rPr>
          <w:rFonts w:ascii="Arial" w:hAnsi="Arial" w:cs="Arial"/>
          <w:b/>
          <w:sz w:val="28"/>
          <w:szCs w:val="28"/>
        </w:rPr>
        <w:t>,</w:t>
      </w:r>
      <w:r w:rsidR="003F4F1C">
        <w:rPr>
          <w:rFonts w:ascii="Arial" w:hAnsi="Arial" w:cs="Arial"/>
          <w:b/>
          <w:sz w:val="28"/>
          <w:szCs w:val="28"/>
        </w:rPr>
        <w:t xml:space="preserve"> </w:t>
      </w:r>
      <w:r w:rsidR="001C1FC2" w:rsidRPr="001C1FC2">
        <w:rPr>
          <w:rFonts w:ascii="Arial" w:hAnsi="Arial" w:cs="Arial"/>
          <w:b/>
          <w:sz w:val="28"/>
          <w:szCs w:val="28"/>
        </w:rPr>
        <w:t>JUNE 2018</w:t>
      </w:r>
    </w:p>
    <w:p w14:paraId="2AB68F0B" w14:textId="5112BDFF" w:rsidR="00D62B44" w:rsidRPr="00666964" w:rsidRDefault="00071CE7" w:rsidP="00881017">
      <w:pPr>
        <w:spacing w:after="120" w:line="240" w:lineRule="auto"/>
        <w:rPr>
          <w:rFonts w:cs="Times New Roman"/>
          <w:b/>
          <w:sz w:val="28"/>
          <w:szCs w:val="28"/>
        </w:rPr>
        <w:sectPr w:rsidR="00D62B44" w:rsidRPr="00666964" w:rsidSect="006D715D">
          <w:headerReference w:type="even" r:id="rId13"/>
          <w:headerReference w:type="default" r:id="rId14"/>
          <w:footerReference w:type="even" r:id="rId15"/>
          <w:footerReference w:type="default" r:id="rId16"/>
          <w:headerReference w:type="first" r:id="rId17"/>
          <w:footerReference w:type="first" r:id="rId18"/>
          <w:pgSz w:w="12240" w:h="15840"/>
          <w:pgMar w:top="450" w:right="720" w:bottom="720" w:left="720" w:header="720" w:footer="432" w:gutter="0"/>
          <w:cols w:space="720"/>
          <w:docGrid w:linePitch="360"/>
        </w:sectPr>
      </w:pPr>
      <w:r w:rsidRPr="005B61C2">
        <w:rPr>
          <w:rFonts w:ascii="Times New Roman" w:hAnsi="Times New Roman" w:cs="Times New Roman"/>
          <w:sz w:val="24"/>
          <w:szCs w:val="24"/>
        </w:rPr>
        <w:t>Releas</w:t>
      </w:r>
      <w:r w:rsidR="000065B4" w:rsidRPr="005B61C2">
        <w:rPr>
          <w:rFonts w:ascii="Times New Roman" w:hAnsi="Times New Roman" w:cs="Times New Roman"/>
          <w:sz w:val="24"/>
          <w:szCs w:val="24"/>
        </w:rPr>
        <w:t>e Number: CB</w:t>
      </w:r>
      <w:r w:rsidR="00035B89">
        <w:rPr>
          <w:rFonts w:ascii="Times New Roman" w:hAnsi="Times New Roman" w:cs="Times New Roman"/>
          <w:sz w:val="24"/>
          <w:szCs w:val="24"/>
        </w:rPr>
        <w:t xml:space="preserve"> 18</w:t>
      </w:r>
      <w:r w:rsidR="000065B4" w:rsidRPr="005B61C2">
        <w:rPr>
          <w:rFonts w:ascii="Times New Roman" w:hAnsi="Times New Roman" w:cs="Times New Roman"/>
          <w:sz w:val="24"/>
          <w:szCs w:val="24"/>
        </w:rPr>
        <w:t>-</w:t>
      </w:r>
      <w:r w:rsidR="003C57BF">
        <w:rPr>
          <w:rFonts w:ascii="Times New Roman" w:hAnsi="Times New Roman" w:cs="Times New Roman"/>
          <w:sz w:val="24"/>
          <w:szCs w:val="24"/>
        </w:rPr>
        <w:t>115</w:t>
      </w:r>
      <w:r w:rsidR="006D398D">
        <w:rPr>
          <w:rFonts w:ascii="Times New Roman" w:hAnsi="Times New Roman" w:cs="Times New Roman"/>
          <w:sz w:val="24"/>
          <w:szCs w:val="24"/>
        </w:rPr>
        <w:t>,</w:t>
      </w:r>
      <w:r w:rsidR="008E7877">
        <w:rPr>
          <w:rFonts w:ascii="Times New Roman" w:hAnsi="Times New Roman" w:cs="Times New Roman"/>
          <w:sz w:val="24"/>
          <w:szCs w:val="24"/>
        </w:rPr>
        <w:t xml:space="preserve"> </w:t>
      </w:r>
      <w:r w:rsidR="002C4C11">
        <w:rPr>
          <w:rFonts w:ascii="Times New Roman" w:hAnsi="Times New Roman" w:cs="Times New Roman"/>
          <w:sz w:val="24"/>
          <w:szCs w:val="24"/>
        </w:rPr>
        <w:t>BEA</w:t>
      </w:r>
      <w:r w:rsidR="00A52F39">
        <w:rPr>
          <w:rFonts w:ascii="Times New Roman" w:hAnsi="Times New Roman" w:cs="Times New Roman"/>
          <w:sz w:val="24"/>
          <w:szCs w:val="24"/>
        </w:rPr>
        <w:t xml:space="preserve"> 18</w:t>
      </w:r>
      <w:r w:rsidR="000065B4" w:rsidRPr="005B61C2">
        <w:rPr>
          <w:rFonts w:ascii="Times New Roman" w:hAnsi="Times New Roman" w:cs="Times New Roman"/>
          <w:sz w:val="24"/>
          <w:szCs w:val="24"/>
        </w:rPr>
        <w:t>-</w:t>
      </w:r>
      <w:r w:rsidR="003C57BF">
        <w:rPr>
          <w:rFonts w:ascii="Times New Roman" w:hAnsi="Times New Roman" w:cs="Times New Roman"/>
          <w:sz w:val="24"/>
          <w:szCs w:val="24"/>
        </w:rPr>
        <w:t>40</w:t>
      </w:r>
    </w:p>
    <w:p w14:paraId="48307893" w14:textId="592C54E4" w:rsidR="00F65176" w:rsidRPr="005B61C2" w:rsidRDefault="001C1FC2" w:rsidP="00881017">
      <w:pPr>
        <w:spacing w:after="120"/>
        <w:ind w:left="-360"/>
        <w:rPr>
          <w:rFonts w:ascii="Times New Roman" w:hAnsi="Times New Roman" w:cs="Times New Roman"/>
          <w:sz w:val="24"/>
          <w:szCs w:val="24"/>
        </w:rPr>
      </w:pPr>
      <w:r w:rsidRPr="001C1FC2">
        <w:rPr>
          <w:rFonts w:ascii="Times New Roman" w:hAnsi="Times New Roman" w:cs="Times New Roman"/>
          <w:b/>
          <w:sz w:val="24"/>
          <w:szCs w:val="24"/>
        </w:rPr>
        <w:t>AUGUST 3, 2018</w:t>
      </w:r>
      <w:r w:rsidR="00FA78EE" w:rsidRPr="005B61C2">
        <w:rPr>
          <w:rFonts w:ascii="Times New Roman" w:hAnsi="Times New Roman" w:cs="Times New Roman"/>
          <w:b/>
          <w:sz w:val="24"/>
          <w:szCs w:val="24"/>
        </w:rPr>
        <w:t xml:space="preserve"> </w:t>
      </w:r>
      <w:r w:rsidR="00FA78EE" w:rsidRPr="005B61C2">
        <w:rPr>
          <w:rFonts w:ascii="Times New Roman" w:hAnsi="Times New Roman" w:cs="Times New Roman"/>
          <w:sz w:val="24"/>
          <w:szCs w:val="24"/>
        </w:rPr>
        <w:t>—</w:t>
      </w:r>
      <w:r w:rsidR="00FA78EE" w:rsidRPr="005B61C2">
        <w:rPr>
          <w:rFonts w:ascii="Times New Roman" w:hAnsi="Times New Roman" w:cs="Times New Roman"/>
          <w:b/>
          <w:sz w:val="24"/>
          <w:szCs w:val="24"/>
        </w:rPr>
        <w:t xml:space="preserve"> </w:t>
      </w:r>
      <w:r w:rsidRPr="001C1FC2">
        <w:rPr>
          <w:rFonts w:ascii="Times New Roman" w:hAnsi="Times New Roman" w:cs="Times New Roman"/>
          <w:sz w:val="24"/>
          <w:szCs w:val="24"/>
        </w:rPr>
        <w:t xml:space="preserve">The U.S. Census Bureau and the U.S. Bureau of Economic Analysis announced today that the goods and services deficit was $46.3 billion in June, up $3.2 billion from $43.2 billion in May, revised. </w:t>
      </w:r>
      <w:r w:rsidR="00B00512">
        <w:rPr>
          <w:rFonts w:ascii="Times New Roman" w:hAnsi="Times New Roman" w:cs="Times New Roman"/>
          <w:sz w:val="24"/>
          <w:szCs w:val="24"/>
        </w:rPr>
        <w:br/>
      </w:r>
    </w:p>
    <w:tbl>
      <w:tblPr>
        <w:tblStyle w:val="TableGrid"/>
        <w:tblpPr w:leftFromText="180" w:rightFromText="180" w:vertAnchor="text" w:tblpX="-365" w:tblpY="1"/>
        <w:tblOverlap w:val="never"/>
        <w:tblW w:w="0" w:type="auto"/>
        <w:tblLayout w:type="fixed"/>
        <w:tblCellMar>
          <w:top w:w="144" w:type="dxa"/>
          <w:left w:w="144" w:type="dxa"/>
          <w:right w:w="144" w:type="dxa"/>
        </w:tblCellMar>
        <w:tblLook w:val="04A0" w:firstRow="1" w:lastRow="0" w:firstColumn="1" w:lastColumn="0" w:noHBand="0" w:noVBand="1"/>
      </w:tblPr>
      <w:tblGrid>
        <w:gridCol w:w="2007"/>
        <w:gridCol w:w="1958"/>
        <w:gridCol w:w="1001"/>
      </w:tblGrid>
      <w:tr w:rsidR="003D3D66" w:rsidRPr="00C47FEC" w14:paraId="20DCAF20" w14:textId="77777777" w:rsidTr="009B0F67">
        <w:trPr>
          <w:trHeight w:val="602"/>
        </w:trPr>
        <w:tc>
          <w:tcPr>
            <w:tcW w:w="4966" w:type="dxa"/>
            <w:gridSpan w:val="3"/>
            <w:tcBorders>
              <w:top w:val="single" w:sz="4" w:space="0" w:color="auto"/>
              <w:left w:val="single" w:sz="4" w:space="0" w:color="auto"/>
              <w:bottom w:val="nil"/>
              <w:right w:val="single" w:sz="4" w:space="0" w:color="auto"/>
            </w:tcBorders>
            <w:shd w:val="clear" w:color="auto" w:fill="DBE5F1" w:themeFill="accent1" w:themeFillTint="33"/>
            <w:vAlign w:val="center"/>
          </w:tcPr>
          <w:p w14:paraId="12F9576B" w14:textId="68A86101" w:rsidR="002C4C11" w:rsidRPr="002C4C11" w:rsidRDefault="002C4C11" w:rsidP="009B0F67">
            <w:pPr>
              <w:jc w:val="center"/>
              <w:rPr>
                <w:rFonts w:ascii="Arial" w:hAnsi="Arial" w:cs="Arial"/>
                <w:b/>
                <w:sz w:val="20"/>
              </w:rPr>
            </w:pPr>
            <w:r w:rsidRPr="002C4C11">
              <w:rPr>
                <w:rFonts w:ascii="Arial" w:hAnsi="Arial" w:cs="Arial"/>
                <w:b/>
                <w:noProof/>
                <w:sz w:val="20"/>
              </w:rPr>
              <w:drawing>
                <wp:anchor distT="0" distB="0" distL="114300" distR="114300" simplePos="0" relativeHeight="251660288" behindDoc="0" locked="0" layoutInCell="1" allowOverlap="1" wp14:anchorId="1C0867CB" wp14:editId="4D372E82">
                  <wp:simplePos x="0" y="0"/>
                  <wp:positionH relativeFrom="column">
                    <wp:posOffset>-44831</wp:posOffset>
                  </wp:positionH>
                  <wp:positionV relativeFrom="paragraph">
                    <wp:posOffset>-65736</wp:posOffset>
                  </wp:positionV>
                  <wp:extent cx="375401" cy="337225"/>
                  <wp:effectExtent l="0" t="0" r="5715"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ss.png"/>
                          <pic:cNvPicPr/>
                        </pic:nvPicPr>
                        <pic:blipFill>
                          <a:blip r:embed="rId19">
                            <a:extLst>
                              <a:ext uri="{28A0092B-C50C-407E-A947-70E740481C1C}">
                                <a14:useLocalDpi xmlns:a14="http://schemas.microsoft.com/office/drawing/2010/main" val="0"/>
                              </a:ext>
                            </a:extLst>
                          </a:blip>
                          <a:stretch>
                            <a:fillRect/>
                          </a:stretch>
                        </pic:blipFill>
                        <pic:spPr>
                          <a:xfrm>
                            <a:off x="0" y="0"/>
                            <a:ext cx="375401" cy="337225"/>
                          </a:xfrm>
                          <a:prstGeom prst="rect">
                            <a:avLst/>
                          </a:prstGeom>
                        </pic:spPr>
                      </pic:pic>
                    </a:graphicData>
                  </a:graphic>
                  <wp14:sizeRelH relativeFrom="page">
                    <wp14:pctWidth>0</wp14:pctWidth>
                  </wp14:sizeRelH>
                  <wp14:sizeRelV relativeFrom="page">
                    <wp14:pctHeight>0</wp14:pctHeight>
                  </wp14:sizeRelV>
                </wp:anchor>
              </w:drawing>
            </w:r>
            <w:r w:rsidRPr="002C4C11">
              <w:rPr>
                <w:rFonts w:ascii="Arial" w:hAnsi="Arial" w:cs="Arial"/>
                <w:b/>
                <w:sz w:val="20"/>
              </w:rPr>
              <w:t xml:space="preserve">U.S. INTERNATIONAL TRADE IN </w:t>
            </w:r>
          </w:p>
          <w:p w14:paraId="585C0BE4" w14:textId="11E7DEB3" w:rsidR="003D3D66" w:rsidRPr="00622924" w:rsidRDefault="002C4C11" w:rsidP="009B0F67">
            <w:pPr>
              <w:jc w:val="center"/>
              <w:rPr>
                <w:rFonts w:cs="Times New Roman"/>
                <w:b/>
                <w:sz w:val="20"/>
              </w:rPr>
            </w:pPr>
            <w:r w:rsidRPr="002C4C11">
              <w:rPr>
                <w:rFonts w:ascii="Arial" w:hAnsi="Arial" w:cs="Arial"/>
                <w:b/>
                <w:sz w:val="20"/>
              </w:rPr>
              <w:t>GOODS AND SERVICES</w:t>
            </w:r>
            <w:r w:rsidR="002768BE">
              <w:rPr>
                <w:rFonts w:ascii="Arial" w:hAnsi="Arial" w:cs="Arial"/>
                <w:b/>
                <w:sz w:val="20"/>
              </w:rPr>
              <w:t xml:space="preserve"> DEF</w:t>
            </w:r>
            <w:r w:rsidR="001E65B9">
              <w:rPr>
                <w:rFonts w:ascii="Arial" w:hAnsi="Arial" w:cs="Arial"/>
                <w:b/>
                <w:sz w:val="20"/>
              </w:rPr>
              <w:t>I</w:t>
            </w:r>
            <w:r w:rsidR="002768BE">
              <w:rPr>
                <w:rFonts w:ascii="Arial" w:hAnsi="Arial" w:cs="Arial"/>
                <w:b/>
                <w:sz w:val="20"/>
              </w:rPr>
              <w:t>CIT</w:t>
            </w:r>
          </w:p>
          <w:p w14:paraId="7C2E8CCE" w14:textId="399B95A2" w:rsidR="00EC5947" w:rsidRPr="00C47FEC" w:rsidRDefault="00EC5947" w:rsidP="009B0F67">
            <w:pPr>
              <w:jc w:val="center"/>
              <w:rPr>
                <w:rFonts w:cs="Times New Roman"/>
                <w:b/>
              </w:rPr>
            </w:pPr>
          </w:p>
        </w:tc>
      </w:tr>
      <w:tr w:rsidR="003D3D66" w:rsidRPr="00CE14D6" w14:paraId="7C244430" w14:textId="77777777" w:rsidTr="009B0F67">
        <w:trPr>
          <w:trHeight w:val="120"/>
        </w:trPr>
        <w:tc>
          <w:tcPr>
            <w:tcW w:w="2007" w:type="dxa"/>
            <w:tcBorders>
              <w:top w:val="nil"/>
              <w:left w:val="single" w:sz="4" w:space="0" w:color="auto"/>
              <w:bottom w:val="nil"/>
              <w:right w:val="nil"/>
            </w:tcBorders>
            <w:vAlign w:val="center"/>
          </w:tcPr>
          <w:p w14:paraId="4D3734DE" w14:textId="0B6A9972" w:rsidR="003D3D66" w:rsidRPr="00622924" w:rsidRDefault="0092461B" w:rsidP="009B0F67">
            <w:pPr>
              <w:rPr>
                <w:rFonts w:ascii="Arial" w:hAnsi="Arial" w:cs="Arial"/>
                <w:b/>
                <w:sz w:val="16"/>
                <w:szCs w:val="17"/>
              </w:rPr>
            </w:pPr>
            <w:r>
              <w:rPr>
                <w:rFonts w:ascii="Arial" w:hAnsi="Arial" w:cs="Arial"/>
                <w:b/>
                <w:sz w:val="16"/>
                <w:szCs w:val="17"/>
              </w:rPr>
              <w:t xml:space="preserve">            </w:t>
            </w:r>
            <w:r w:rsidR="005B1D76">
              <w:rPr>
                <w:rFonts w:ascii="Arial" w:hAnsi="Arial" w:cs="Arial"/>
                <w:b/>
                <w:sz w:val="16"/>
                <w:szCs w:val="17"/>
              </w:rPr>
              <w:t>Deficit:</w:t>
            </w:r>
          </w:p>
        </w:tc>
        <w:tc>
          <w:tcPr>
            <w:tcW w:w="1958" w:type="dxa"/>
            <w:tcBorders>
              <w:top w:val="nil"/>
              <w:left w:val="nil"/>
              <w:bottom w:val="nil"/>
              <w:right w:val="nil"/>
            </w:tcBorders>
            <w:vAlign w:val="center"/>
          </w:tcPr>
          <w:p w14:paraId="59F4051C" w14:textId="78355AC5" w:rsidR="003D3D66" w:rsidRPr="00622924" w:rsidRDefault="002C4C11" w:rsidP="009B0F67">
            <w:pPr>
              <w:rPr>
                <w:rFonts w:ascii="Arial" w:hAnsi="Arial" w:cs="Arial"/>
                <w:b/>
                <w:sz w:val="16"/>
                <w:szCs w:val="17"/>
              </w:rPr>
            </w:pPr>
            <w:r>
              <w:rPr>
                <w:rFonts w:ascii="Arial" w:hAnsi="Arial" w:cs="Arial"/>
                <w:b/>
                <w:sz w:val="16"/>
                <w:szCs w:val="17"/>
              </w:rPr>
              <w:t>$</w:t>
            </w:r>
            <w:r w:rsidR="001C1FC2" w:rsidRPr="001C1FC2">
              <w:rPr>
                <w:rFonts w:ascii="Arial" w:hAnsi="Arial" w:cs="Arial"/>
                <w:b/>
                <w:sz w:val="16"/>
                <w:szCs w:val="17"/>
              </w:rPr>
              <w:t>46.3</w:t>
            </w:r>
            <w:r>
              <w:rPr>
                <w:rFonts w:ascii="Arial" w:hAnsi="Arial" w:cs="Arial"/>
                <w:b/>
                <w:sz w:val="16"/>
                <w:szCs w:val="17"/>
              </w:rPr>
              <w:t xml:space="preserve"> Billion</w:t>
            </w:r>
          </w:p>
        </w:tc>
        <w:tc>
          <w:tcPr>
            <w:tcW w:w="1001" w:type="dxa"/>
            <w:tcBorders>
              <w:top w:val="nil"/>
              <w:left w:val="nil"/>
              <w:bottom w:val="nil"/>
              <w:right w:val="single" w:sz="4" w:space="0" w:color="auto"/>
            </w:tcBorders>
          </w:tcPr>
          <w:p w14:paraId="0174E28F" w14:textId="2A34B23A" w:rsidR="003D3D66" w:rsidRPr="00CE14D6" w:rsidRDefault="001C1FC2" w:rsidP="009B0F67">
            <w:pPr>
              <w:rPr>
                <w:rFonts w:cs="Times New Roman"/>
                <w:b/>
                <w:sz w:val="18"/>
                <w:szCs w:val="18"/>
              </w:rPr>
            </w:pPr>
            <w:r w:rsidRPr="001C1FC2">
              <w:rPr>
                <w:rFonts w:ascii="Arial" w:hAnsi="Arial" w:cs="Arial"/>
                <w:b/>
                <w:sz w:val="16"/>
                <w:szCs w:val="17"/>
              </w:rPr>
              <w:t>+7.3</w:t>
            </w:r>
            <w:r w:rsidR="00161BE7" w:rsidRPr="003B01EC">
              <w:rPr>
                <w:rFonts w:ascii="Arial" w:eastAsiaTheme="minorEastAsia" w:hAnsi="Arial" w:cs="Arial"/>
                <w:b/>
                <w:bCs/>
                <w:color w:val="000000"/>
                <w:sz w:val="16"/>
                <w:szCs w:val="16"/>
              </w:rPr>
              <w:t>%°</w:t>
            </w:r>
          </w:p>
        </w:tc>
      </w:tr>
      <w:tr w:rsidR="005B1D76" w:rsidRPr="00CE14D6" w14:paraId="18AD0A90" w14:textId="77777777" w:rsidTr="009B0F67">
        <w:trPr>
          <w:trHeight w:val="198"/>
        </w:trPr>
        <w:tc>
          <w:tcPr>
            <w:tcW w:w="2007" w:type="dxa"/>
            <w:tcBorders>
              <w:top w:val="nil"/>
              <w:left w:val="single" w:sz="4" w:space="0" w:color="auto"/>
              <w:bottom w:val="nil"/>
              <w:right w:val="nil"/>
            </w:tcBorders>
            <w:vAlign w:val="center"/>
          </w:tcPr>
          <w:p w14:paraId="02356B51" w14:textId="50C1494A" w:rsidR="005B1D76" w:rsidRDefault="005B1D76" w:rsidP="009B0F67">
            <w:pPr>
              <w:jc w:val="center"/>
              <w:rPr>
                <w:rFonts w:ascii="Arial" w:hAnsi="Arial" w:cs="Arial"/>
                <w:b/>
                <w:sz w:val="16"/>
                <w:szCs w:val="17"/>
              </w:rPr>
            </w:pPr>
            <w:r>
              <w:rPr>
                <w:rFonts w:ascii="Arial" w:hAnsi="Arial" w:cs="Arial"/>
                <w:b/>
                <w:sz w:val="16"/>
                <w:szCs w:val="17"/>
              </w:rPr>
              <w:t>Exports:</w:t>
            </w:r>
          </w:p>
        </w:tc>
        <w:tc>
          <w:tcPr>
            <w:tcW w:w="1958" w:type="dxa"/>
            <w:tcBorders>
              <w:top w:val="nil"/>
              <w:left w:val="nil"/>
              <w:bottom w:val="nil"/>
              <w:right w:val="nil"/>
            </w:tcBorders>
            <w:vAlign w:val="center"/>
          </w:tcPr>
          <w:p w14:paraId="5662B500" w14:textId="4E3992C7" w:rsidR="005B1D76" w:rsidRPr="00086A28" w:rsidRDefault="005B1D76" w:rsidP="009B0F67">
            <w:pPr>
              <w:rPr>
                <w:rFonts w:ascii="Arial" w:hAnsi="Arial" w:cs="Arial"/>
                <w:b/>
                <w:sz w:val="16"/>
                <w:szCs w:val="17"/>
              </w:rPr>
            </w:pPr>
            <w:r>
              <w:rPr>
                <w:rFonts w:ascii="Arial" w:hAnsi="Arial" w:cs="Arial"/>
                <w:b/>
                <w:sz w:val="16"/>
                <w:szCs w:val="17"/>
              </w:rPr>
              <w:t>$</w:t>
            </w:r>
            <w:r w:rsidR="001C1FC2" w:rsidRPr="001C1FC2">
              <w:rPr>
                <w:rFonts w:ascii="Arial" w:hAnsi="Arial" w:cs="Arial"/>
                <w:b/>
                <w:sz w:val="16"/>
                <w:szCs w:val="17"/>
              </w:rPr>
              <w:t>213.8</w:t>
            </w:r>
            <w:r>
              <w:rPr>
                <w:rFonts w:ascii="Arial" w:hAnsi="Arial" w:cs="Arial"/>
                <w:b/>
                <w:sz w:val="16"/>
                <w:szCs w:val="17"/>
              </w:rPr>
              <w:t xml:space="preserve"> Billion</w:t>
            </w:r>
          </w:p>
        </w:tc>
        <w:tc>
          <w:tcPr>
            <w:tcW w:w="1001" w:type="dxa"/>
            <w:tcBorders>
              <w:top w:val="nil"/>
              <w:left w:val="nil"/>
              <w:bottom w:val="nil"/>
              <w:right w:val="single" w:sz="4" w:space="0" w:color="auto"/>
            </w:tcBorders>
          </w:tcPr>
          <w:p w14:paraId="23C6B225" w14:textId="666D197E" w:rsidR="005B1D76" w:rsidRPr="005B1D76" w:rsidRDefault="001C1FC2" w:rsidP="009B0F67">
            <w:pPr>
              <w:rPr>
                <w:rFonts w:ascii="Arial" w:hAnsi="Arial" w:cs="Arial"/>
                <w:sz w:val="16"/>
                <w:szCs w:val="18"/>
              </w:rPr>
            </w:pPr>
            <w:r w:rsidRPr="001C1FC2">
              <w:rPr>
                <w:rFonts w:ascii="Arial" w:hAnsi="Arial" w:cs="Arial"/>
                <w:b/>
                <w:sz w:val="16"/>
                <w:szCs w:val="17"/>
              </w:rPr>
              <w:t>-0.7</w:t>
            </w:r>
            <w:r w:rsidR="003B38E9" w:rsidRPr="003B01EC">
              <w:rPr>
                <w:rFonts w:ascii="Arial" w:eastAsiaTheme="minorEastAsia" w:hAnsi="Arial" w:cs="Arial"/>
                <w:b/>
                <w:bCs/>
                <w:color w:val="000000"/>
                <w:sz w:val="16"/>
                <w:szCs w:val="16"/>
              </w:rPr>
              <w:t>%°</w:t>
            </w:r>
          </w:p>
        </w:tc>
      </w:tr>
      <w:tr w:rsidR="003D3D66" w:rsidRPr="00CE14D6" w14:paraId="59896521" w14:textId="77777777" w:rsidTr="009B0F67">
        <w:trPr>
          <w:trHeight w:val="198"/>
        </w:trPr>
        <w:tc>
          <w:tcPr>
            <w:tcW w:w="2007" w:type="dxa"/>
            <w:tcBorders>
              <w:top w:val="nil"/>
              <w:left w:val="single" w:sz="4" w:space="0" w:color="auto"/>
              <w:bottom w:val="nil"/>
              <w:right w:val="nil"/>
            </w:tcBorders>
            <w:vAlign w:val="center"/>
          </w:tcPr>
          <w:p w14:paraId="1658E724" w14:textId="01B9D231" w:rsidR="003D3D66" w:rsidRPr="00622924" w:rsidRDefault="005B1D76" w:rsidP="009B0F67">
            <w:pPr>
              <w:jc w:val="center"/>
              <w:rPr>
                <w:rFonts w:ascii="Arial" w:hAnsi="Arial" w:cs="Arial"/>
                <w:b/>
                <w:sz w:val="16"/>
                <w:szCs w:val="17"/>
              </w:rPr>
            </w:pPr>
            <w:r>
              <w:rPr>
                <w:rFonts w:ascii="Arial" w:hAnsi="Arial" w:cs="Arial"/>
                <w:b/>
                <w:sz w:val="16"/>
                <w:szCs w:val="17"/>
              </w:rPr>
              <w:t>Imports:</w:t>
            </w:r>
          </w:p>
        </w:tc>
        <w:tc>
          <w:tcPr>
            <w:tcW w:w="1958" w:type="dxa"/>
            <w:tcBorders>
              <w:top w:val="nil"/>
              <w:left w:val="nil"/>
              <w:bottom w:val="nil"/>
              <w:right w:val="nil"/>
            </w:tcBorders>
            <w:vAlign w:val="center"/>
          </w:tcPr>
          <w:p w14:paraId="6BA81F20" w14:textId="123832DE" w:rsidR="003D3D66" w:rsidRPr="00622924" w:rsidRDefault="00086A28" w:rsidP="009B0F67">
            <w:pPr>
              <w:rPr>
                <w:rFonts w:ascii="Arial" w:hAnsi="Arial" w:cs="Arial"/>
                <w:b/>
                <w:sz w:val="16"/>
                <w:szCs w:val="17"/>
              </w:rPr>
            </w:pPr>
            <w:r w:rsidRPr="00086A28">
              <w:rPr>
                <w:rFonts w:ascii="Arial" w:hAnsi="Arial" w:cs="Arial"/>
                <w:b/>
                <w:sz w:val="16"/>
                <w:szCs w:val="17"/>
              </w:rPr>
              <w:t>$</w:t>
            </w:r>
            <w:r w:rsidR="001C1FC2" w:rsidRPr="001C1FC2">
              <w:rPr>
                <w:rFonts w:ascii="Arial" w:hAnsi="Arial" w:cs="Arial"/>
                <w:b/>
                <w:sz w:val="16"/>
                <w:szCs w:val="17"/>
              </w:rPr>
              <w:t>260.2</w:t>
            </w:r>
            <w:r w:rsidRPr="00086A28">
              <w:rPr>
                <w:rFonts w:ascii="Arial" w:hAnsi="Arial" w:cs="Arial"/>
                <w:b/>
                <w:sz w:val="16"/>
                <w:szCs w:val="17"/>
              </w:rPr>
              <w:t xml:space="preserve"> Billion</w:t>
            </w:r>
          </w:p>
        </w:tc>
        <w:tc>
          <w:tcPr>
            <w:tcW w:w="1001" w:type="dxa"/>
            <w:tcBorders>
              <w:top w:val="nil"/>
              <w:left w:val="nil"/>
              <w:bottom w:val="nil"/>
              <w:right w:val="single" w:sz="4" w:space="0" w:color="auto"/>
            </w:tcBorders>
          </w:tcPr>
          <w:p w14:paraId="2BBF00AB" w14:textId="147AF252" w:rsidR="003D3D66" w:rsidRPr="005B1D76" w:rsidRDefault="001C1FC2" w:rsidP="009B0F67">
            <w:pPr>
              <w:rPr>
                <w:rFonts w:ascii="Arial" w:hAnsi="Arial" w:cs="Arial"/>
                <w:b/>
                <w:sz w:val="16"/>
                <w:szCs w:val="16"/>
              </w:rPr>
            </w:pPr>
            <w:r w:rsidRPr="001C1FC2">
              <w:rPr>
                <w:rFonts w:ascii="Arial" w:hAnsi="Arial" w:cs="Arial"/>
                <w:b/>
                <w:sz w:val="16"/>
                <w:szCs w:val="17"/>
              </w:rPr>
              <w:t>+0.6</w:t>
            </w:r>
            <w:r w:rsidR="00E84213">
              <w:rPr>
                <w:rFonts w:ascii="Arial" w:hAnsi="Arial" w:cs="Arial"/>
                <w:b/>
                <w:sz w:val="16"/>
                <w:szCs w:val="16"/>
              </w:rPr>
              <w:t>%</w:t>
            </w:r>
            <w:r w:rsidR="00E84213" w:rsidRPr="003B01EC">
              <w:rPr>
                <w:rFonts w:ascii="Arial" w:eastAsiaTheme="minorEastAsia" w:hAnsi="Arial" w:cs="Arial"/>
                <w:b/>
                <w:bCs/>
                <w:color w:val="000000"/>
                <w:sz w:val="16"/>
                <w:szCs w:val="16"/>
              </w:rPr>
              <w:t>°</w:t>
            </w:r>
          </w:p>
        </w:tc>
      </w:tr>
      <w:tr w:rsidR="003D3D66" w:rsidRPr="00CE14D6" w14:paraId="20B8F9F5" w14:textId="77777777" w:rsidTr="009B0F67">
        <w:trPr>
          <w:trHeight w:val="604"/>
        </w:trPr>
        <w:tc>
          <w:tcPr>
            <w:tcW w:w="4966" w:type="dxa"/>
            <w:gridSpan w:val="3"/>
            <w:tcBorders>
              <w:top w:val="nil"/>
              <w:left w:val="single" w:sz="4" w:space="0" w:color="auto"/>
              <w:bottom w:val="single" w:sz="4" w:space="0" w:color="auto"/>
              <w:right w:val="single" w:sz="4" w:space="0" w:color="auto"/>
            </w:tcBorders>
            <w:vAlign w:val="center"/>
          </w:tcPr>
          <w:p w14:paraId="040B4888" w14:textId="10CB4EA8" w:rsidR="00622924" w:rsidRPr="00622924" w:rsidRDefault="00622924" w:rsidP="009B0F67">
            <w:pPr>
              <w:jc w:val="center"/>
              <w:rPr>
                <w:rFonts w:ascii="Arial" w:hAnsi="Arial" w:cs="Arial"/>
                <w:sz w:val="12"/>
                <w:szCs w:val="14"/>
              </w:rPr>
            </w:pPr>
            <w:r w:rsidRPr="00622924">
              <w:rPr>
                <w:rFonts w:ascii="Arial" w:hAnsi="Arial" w:cs="Arial"/>
                <w:b/>
                <w:sz w:val="16"/>
                <w:szCs w:val="18"/>
              </w:rPr>
              <w:t xml:space="preserve">Next release: </w:t>
            </w:r>
            <w:r w:rsidR="001C1FC2" w:rsidRPr="001C1FC2">
              <w:rPr>
                <w:rFonts w:ascii="Arial" w:hAnsi="Arial" w:cs="Arial"/>
                <w:b/>
                <w:sz w:val="16"/>
                <w:szCs w:val="18"/>
              </w:rPr>
              <w:t>September 5, 2018</w:t>
            </w:r>
          </w:p>
          <w:p w14:paraId="3FEA3B62" w14:textId="77777777" w:rsidR="00622924" w:rsidRDefault="00622924" w:rsidP="009B0F67">
            <w:pPr>
              <w:jc w:val="center"/>
              <w:rPr>
                <w:rFonts w:ascii="Arial" w:hAnsi="Arial" w:cs="Arial"/>
                <w:sz w:val="14"/>
                <w:szCs w:val="14"/>
              </w:rPr>
            </w:pPr>
          </w:p>
          <w:p w14:paraId="16CF8259" w14:textId="77777777" w:rsidR="00161BE7" w:rsidRDefault="00622924" w:rsidP="009B0F67">
            <w:pPr>
              <w:jc w:val="center"/>
              <w:rPr>
                <w:rFonts w:ascii="Arial" w:eastAsiaTheme="minorEastAsia" w:hAnsi="Arial" w:cs="Arial"/>
                <w:color w:val="000000"/>
                <w:sz w:val="14"/>
                <w:szCs w:val="12"/>
              </w:rPr>
            </w:pPr>
            <w:r w:rsidRPr="00622924">
              <w:rPr>
                <w:rFonts w:ascii="Arial" w:hAnsi="Arial" w:cs="Arial"/>
                <w:sz w:val="14"/>
                <w:szCs w:val="14"/>
              </w:rPr>
              <w:t xml:space="preserve"> </w:t>
            </w:r>
            <w:bookmarkStart w:id="0" w:name="footnote2"/>
            <w:r w:rsidR="002C4C11" w:rsidRPr="002C4C11">
              <w:rPr>
                <w:rFonts w:ascii="Arial" w:hAnsi="Arial" w:cs="Arial"/>
                <w:sz w:val="14"/>
                <w:szCs w:val="14"/>
              </w:rPr>
              <w:t>(°)</w:t>
            </w:r>
            <w:bookmarkEnd w:id="0"/>
            <w:r w:rsidR="00161BE7" w:rsidRPr="003B01EC">
              <w:rPr>
                <w:rFonts w:ascii="Arial" w:eastAsiaTheme="minorEastAsia" w:hAnsi="Arial" w:cs="Arial"/>
                <w:color w:val="000000"/>
                <w:sz w:val="14"/>
                <w:szCs w:val="12"/>
              </w:rPr>
              <w:t xml:space="preserve"> Statistical significance is not applicable or not measurable.</w:t>
            </w:r>
          </w:p>
          <w:p w14:paraId="5F744A14" w14:textId="31C842E9" w:rsidR="00622924" w:rsidRPr="00622924" w:rsidRDefault="006E5A73" w:rsidP="009B0F67">
            <w:pPr>
              <w:jc w:val="center"/>
              <w:rPr>
                <w:rFonts w:cs="Times New Roman"/>
                <w:sz w:val="18"/>
                <w:szCs w:val="18"/>
              </w:rPr>
            </w:pPr>
            <w:r>
              <w:rPr>
                <w:rFonts w:ascii="Arial" w:hAnsi="Arial" w:cs="Arial"/>
                <w:sz w:val="14"/>
                <w:szCs w:val="14"/>
              </w:rPr>
              <w:t>Data adjusted for seasonality but not price changes</w:t>
            </w:r>
          </w:p>
          <w:p w14:paraId="7607B508" w14:textId="6E16EC92" w:rsidR="003D3D66" w:rsidRPr="00622924" w:rsidRDefault="00E53A3F" w:rsidP="009B0F67">
            <w:pPr>
              <w:jc w:val="center"/>
              <w:rPr>
                <w:rFonts w:ascii="Arial" w:hAnsi="Arial" w:cs="Arial"/>
                <w:sz w:val="14"/>
                <w:szCs w:val="14"/>
              </w:rPr>
            </w:pPr>
            <w:r w:rsidRPr="00622924">
              <w:rPr>
                <w:rFonts w:ascii="Arial" w:hAnsi="Arial" w:cs="Arial"/>
                <w:sz w:val="14"/>
                <w:szCs w:val="14"/>
              </w:rPr>
              <w:t>Source: U.S. Census Bureau,</w:t>
            </w:r>
            <w:r w:rsidR="00F2498F">
              <w:rPr>
                <w:rFonts w:ascii="Arial" w:hAnsi="Arial" w:cs="Arial"/>
                <w:sz w:val="14"/>
                <w:szCs w:val="14"/>
              </w:rPr>
              <w:t xml:space="preserve"> U.S. Bureau of Economic Analysis;</w:t>
            </w:r>
            <w:r w:rsidRPr="00622924">
              <w:rPr>
                <w:rFonts w:ascii="Arial" w:hAnsi="Arial" w:cs="Arial"/>
                <w:sz w:val="14"/>
                <w:szCs w:val="14"/>
              </w:rPr>
              <w:t xml:space="preserve"> </w:t>
            </w:r>
            <w:r w:rsidR="002C4C11">
              <w:rPr>
                <w:rFonts w:ascii="Arial" w:hAnsi="Arial" w:cs="Arial"/>
                <w:sz w:val="14"/>
                <w:szCs w:val="14"/>
              </w:rPr>
              <w:t>U.S. International Trade in Goods and Services</w:t>
            </w:r>
            <w:r w:rsidR="0024067F">
              <w:rPr>
                <w:rFonts w:ascii="Arial" w:hAnsi="Arial" w:cs="Arial"/>
                <w:sz w:val="14"/>
                <w:szCs w:val="14"/>
              </w:rPr>
              <w:t>,</w:t>
            </w:r>
            <w:r w:rsidR="00605675">
              <w:rPr>
                <w:rFonts w:ascii="Arial" w:hAnsi="Arial" w:cs="Arial"/>
                <w:sz w:val="14"/>
                <w:szCs w:val="14"/>
              </w:rPr>
              <w:t xml:space="preserve"> </w:t>
            </w:r>
            <w:r w:rsidR="001C1FC2" w:rsidRPr="001C1FC2">
              <w:rPr>
                <w:rFonts w:ascii="Arial" w:hAnsi="Arial" w:cs="Arial"/>
                <w:bCs/>
                <w:sz w:val="14"/>
                <w:szCs w:val="14"/>
              </w:rPr>
              <w:t>August 3, 2018</w:t>
            </w:r>
            <w:r w:rsidR="00F2498F">
              <w:rPr>
                <w:rFonts w:ascii="Arial" w:hAnsi="Arial" w:cs="Arial"/>
                <w:sz w:val="14"/>
                <w:szCs w:val="14"/>
              </w:rPr>
              <w:t>.</w:t>
            </w:r>
          </w:p>
        </w:tc>
      </w:tr>
    </w:tbl>
    <w:p w14:paraId="2508820F" w14:textId="018A0168" w:rsidR="00F65176" w:rsidRPr="005B61C2" w:rsidRDefault="000247D9" w:rsidP="00D23876">
      <w:pPr>
        <w:tabs>
          <w:tab w:val="left" w:pos="-360"/>
        </w:tabs>
        <w:spacing w:after="0"/>
        <w:ind w:left="-360"/>
        <w:rPr>
          <w:rFonts w:ascii="Times New Roman" w:hAnsi="Times New Roman" w:cs="Times New Roman"/>
          <w:b/>
          <w:sz w:val="24"/>
          <w:szCs w:val="24"/>
        </w:rPr>
      </w:pPr>
      <w:r w:rsidRPr="000247D9">
        <w:rPr>
          <w:rFonts w:ascii="Times New Roman" w:hAnsi="Times New Roman" w:cs="Times New Roman"/>
          <w:noProof/>
          <w:sz w:val="24"/>
          <w:szCs w:val="24"/>
        </w:rPr>
        <w:drawing>
          <wp:anchor distT="0" distB="0" distL="114300" distR="114300" simplePos="0" relativeHeight="251663360" behindDoc="0" locked="0" layoutInCell="1" allowOverlap="1" wp14:anchorId="3F3A2876" wp14:editId="5D1944DE">
            <wp:simplePos x="0" y="0"/>
            <wp:positionH relativeFrom="column">
              <wp:posOffset>3200400</wp:posOffset>
            </wp:positionH>
            <wp:positionV relativeFrom="paragraph">
              <wp:posOffset>58</wp:posOffset>
            </wp:positionV>
            <wp:extent cx="3149963" cy="1932709"/>
            <wp:effectExtent l="0" t="0" r="0" b="0"/>
            <wp:wrapNone/>
            <wp:docPr id="3" name="Picture 3" descr="K:\Press Release\Current\Text\Graphs\b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Press Release\Current\Text\Graphs\bop.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154241" cy="1935334"/>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4"/>
          <w:szCs w:val="24"/>
        </w:rPr>
        <w:br w:type="textWrapping" w:clear="all"/>
      </w:r>
      <w:r w:rsidR="003D3D66">
        <w:rPr>
          <w:rFonts w:ascii="Times New Roman" w:hAnsi="Times New Roman" w:cs="Times New Roman"/>
          <w:noProof/>
          <w:sz w:val="24"/>
          <w:szCs w:val="24"/>
        </w:rPr>
        <w:br/>
      </w:r>
      <w:r w:rsidR="00086A28" w:rsidRPr="00086A28">
        <w:rPr>
          <w:rFonts w:ascii="Times New Roman" w:hAnsi="Times New Roman" w:cs="Times New Roman"/>
          <w:b/>
          <w:sz w:val="24"/>
          <w:szCs w:val="24"/>
        </w:rPr>
        <w:t>Exports, Imports</w:t>
      </w:r>
      <w:r w:rsidR="00BC0977">
        <w:rPr>
          <w:rFonts w:ascii="Times New Roman" w:hAnsi="Times New Roman" w:cs="Times New Roman"/>
          <w:b/>
          <w:sz w:val="24"/>
          <w:szCs w:val="24"/>
        </w:rPr>
        <w:t>,</w:t>
      </w:r>
      <w:r w:rsidR="00881017">
        <w:rPr>
          <w:rFonts w:ascii="Times New Roman" w:hAnsi="Times New Roman" w:cs="Times New Roman"/>
          <w:b/>
          <w:sz w:val="24"/>
          <w:szCs w:val="24"/>
        </w:rPr>
        <w:t xml:space="preserve"> and Balance</w:t>
      </w:r>
      <w:r w:rsidR="00086A28" w:rsidRPr="00086A28">
        <w:rPr>
          <w:rFonts w:ascii="Times New Roman" w:hAnsi="Times New Roman" w:cs="Times New Roman"/>
          <w:b/>
          <w:sz w:val="24"/>
          <w:szCs w:val="24"/>
        </w:rPr>
        <w:t xml:space="preserve"> (Exhibit 1)</w:t>
      </w:r>
    </w:p>
    <w:p w14:paraId="5272528A" w14:textId="4C9C1266" w:rsidR="00F65176" w:rsidRDefault="001C1FC2">
      <w:pPr>
        <w:spacing w:after="120"/>
        <w:ind w:left="-360"/>
        <w:rPr>
          <w:rFonts w:ascii="Times New Roman" w:hAnsi="Times New Roman" w:cs="Times New Roman"/>
          <w:sz w:val="24"/>
          <w:szCs w:val="24"/>
        </w:rPr>
      </w:pPr>
      <w:r w:rsidRPr="001C1FC2">
        <w:rPr>
          <w:rFonts w:ascii="Times New Roman" w:hAnsi="Times New Roman" w:cs="Times New Roman"/>
          <w:sz w:val="24"/>
          <w:szCs w:val="24"/>
        </w:rPr>
        <w:t>June exports were $213.8 billion, $1.5 billion less than May exports. June imports were $260.2 billion, $1.6 billion more than May imports.</w:t>
      </w:r>
    </w:p>
    <w:p w14:paraId="37F5E517" w14:textId="5772FAD9" w:rsidR="00D578AE" w:rsidRDefault="001C1FC2" w:rsidP="00763110">
      <w:pPr>
        <w:spacing w:after="120"/>
        <w:ind w:left="-360"/>
        <w:rPr>
          <w:rFonts w:ascii="Times New Roman" w:hAnsi="Times New Roman" w:cs="Times New Roman"/>
          <w:sz w:val="24"/>
          <w:szCs w:val="24"/>
        </w:rPr>
      </w:pPr>
      <w:r w:rsidRPr="001C1FC2">
        <w:rPr>
          <w:rFonts w:ascii="Times New Roman" w:hAnsi="Times New Roman" w:cs="Times New Roman"/>
          <w:sz w:val="24"/>
          <w:szCs w:val="24"/>
        </w:rPr>
        <w:t xml:space="preserve">The June increase in the goods and services deficit reflected an increase in the goods deficit of $3.1 billion to $68.8 billion and a decrease in the services surplus of </w:t>
      </w:r>
      <w:r w:rsidR="001D5D3C">
        <w:rPr>
          <w:rFonts w:ascii="Times New Roman" w:hAnsi="Times New Roman" w:cs="Times New Roman"/>
          <w:sz w:val="24"/>
          <w:szCs w:val="24"/>
        </w:rPr>
        <w:t>less than $0.1 billion</w:t>
      </w:r>
      <w:r w:rsidRPr="001C1FC2">
        <w:rPr>
          <w:rFonts w:ascii="Times New Roman" w:hAnsi="Times New Roman" w:cs="Times New Roman"/>
          <w:sz w:val="24"/>
          <w:szCs w:val="24"/>
        </w:rPr>
        <w:t xml:space="preserve"> to $22.5 billion.</w:t>
      </w:r>
    </w:p>
    <w:p w14:paraId="3A41391D" w14:textId="7594B7C3" w:rsidR="00D578AE" w:rsidRDefault="001C1FC2" w:rsidP="00763110">
      <w:pPr>
        <w:spacing w:after="120"/>
        <w:ind w:left="-360"/>
        <w:rPr>
          <w:rFonts w:ascii="Times New Roman" w:hAnsi="Times New Roman" w:cs="Times New Roman"/>
          <w:sz w:val="24"/>
          <w:szCs w:val="24"/>
        </w:rPr>
      </w:pPr>
      <w:r w:rsidRPr="001C1FC2">
        <w:rPr>
          <w:rFonts w:ascii="Times New Roman" w:hAnsi="Times New Roman" w:cs="Times New Roman"/>
          <w:sz w:val="24"/>
          <w:szCs w:val="24"/>
        </w:rPr>
        <w:t>Year-to-date, the goods and services deficit increased $19.6 billion, or 7.2 percent, from the same period in 2017. Exports increased $103.6 billion or 9.0 percent. Imports increased $123.2 billion or 8.6 percent.</w:t>
      </w:r>
    </w:p>
    <w:p w14:paraId="407D8A05" w14:textId="14925FF8" w:rsidR="00F65176" w:rsidRPr="005B61C2" w:rsidRDefault="00086A28" w:rsidP="00A37583">
      <w:pPr>
        <w:spacing w:after="0"/>
        <w:ind w:left="-360"/>
        <w:rPr>
          <w:rFonts w:ascii="Times New Roman" w:hAnsi="Times New Roman" w:cs="Times New Roman"/>
          <w:b/>
          <w:sz w:val="24"/>
          <w:szCs w:val="24"/>
        </w:rPr>
      </w:pPr>
      <w:r w:rsidRPr="00086A28">
        <w:rPr>
          <w:rFonts w:ascii="Times New Roman" w:hAnsi="Times New Roman" w:cs="Times New Roman"/>
          <w:b/>
          <w:sz w:val="24"/>
          <w:szCs w:val="24"/>
        </w:rPr>
        <w:t>Three-Month Moving Averages (Exhibit 2)</w:t>
      </w:r>
    </w:p>
    <w:p w14:paraId="26EA5ECF" w14:textId="7D40AFAF" w:rsidR="00763110" w:rsidRDefault="001C1FC2" w:rsidP="00D6567F">
      <w:pPr>
        <w:spacing w:after="0"/>
        <w:ind w:left="-360"/>
      </w:pPr>
      <w:r w:rsidRPr="001C1FC2">
        <w:rPr>
          <w:rFonts w:ascii="Times New Roman" w:hAnsi="Times New Roman" w:cs="Times New Roman"/>
          <w:bCs/>
          <w:sz w:val="24"/>
          <w:szCs w:val="24"/>
        </w:rPr>
        <w:t>The average goods and services deficit decreased $0.3 billion to $45.2 billion for the three months ending in June.</w:t>
      </w:r>
    </w:p>
    <w:p w14:paraId="53D7123D" w14:textId="687E3875" w:rsidR="00763110" w:rsidRDefault="001C1FC2" w:rsidP="00AE5B46">
      <w:pPr>
        <w:pStyle w:val="ListParagraph"/>
        <w:numPr>
          <w:ilvl w:val="0"/>
          <w:numId w:val="6"/>
        </w:numPr>
        <w:spacing w:after="0"/>
        <w:contextualSpacing w:val="0"/>
        <w:rPr>
          <w:rFonts w:ascii="Times New Roman" w:hAnsi="Times New Roman" w:cs="Times New Roman"/>
          <w:sz w:val="24"/>
          <w:szCs w:val="24"/>
        </w:rPr>
      </w:pPr>
      <w:r w:rsidRPr="001C1FC2">
        <w:rPr>
          <w:rFonts w:ascii="Times New Roman" w:hAnsi="Times New Roman" w:cs="Times New Roman"/>
          <w:sz w:val="24"/>
          <w:szCs w:val="24"/>
        </w:rPr>
        <w:t>Average exports increased $1.0 billion to $213.5 billion in June.</w:t>
      </w:r>
    </w:p>
    <w:p w14:paraId="1867190D" w14:textId="3CE3BA69" w:rsidR="00456B86" w:rsidRPr="006A6A59" w:rsidRDefault="001C1FC2" w:rsidP="00881017">
      <w:pPr>
        <w:pStyle w:val="ListParagraph"/>
        <w:numPr>
          <w:ilvl w:val="0"/>
          <w:numId w:val="6"/>
        </w:numPr>
        <w:spacing w:after="120"/>
        <w:contextualSpacing w:val="0"/>
        <w:rPr>
          <w:rFonts w:ascii="Times New Roman" w:hAnsi="Times New Roman" w:cs="Times New Roman"/>
          <w:sz w:val="24"/>
          <w:szCs w:val="24"/>
        </w:rPr>
      </w:pPr>
      <w:r w:rsidRPr="001C1FC2">
        <w:rPr>
          <w:rFonts w:ascii="Times New Roman" w:hAnsi="Times New Roman" w:cs="Times New Roman"/>
          <w:sz w:val="24"/>
          <w:szCs w:val="24"/>
        </w:rPr>
        <w:t>Average imports increased $0.8 billion to $258.7 billion in June.</w:t>
      </w:r>
    </w:p>
    <w:p w14:paraId="0A86BF2A" w14:textId="4EACA00D" w:rsidR="00397D96" w:rsidRDefault="001C1FC2" w:rsidP="00D6567F">
      <w:pPr>
        <w:spacing w:after="0"/>
        <w:ind w:left="-360"/>
        <w:rPr>
          <w:rFonts w:ascii="Times New Roman" w:hAnsi="Times New Roman" w:cs="Times New Roman"/>
          <w:sz w:val="24"/>
          <w:szCs w:val="24"/>
        </w:rPr>
      </w:pPr>
      <w:r w:rsidRPr="001C1FC2">
        <w:rPr>
          <w:rFonts w:ascii="Times New Roman" w:hAnsi="Times New Roman" w:cs="Times New Roman"/>
          <w:sz w:val="24"/>
          <w:szCs w:val="24"/>
        </w:rPr>
        <w:t>Year-over-year, the average goods and services deficit decreased $0.4 billion from the three months ending in June 2017.</w:t>
      </w:r>
      <w:bookmarkStart w:id="1" w:name="_GoBack"/>
      <w:bookmarkEnd w:id="1"/>
    </w:p>
    <w:p w14:paraId="17CA7CEB" w14:textId="28A64A30" w:rsidR="008F3EB8" w:rsidRDefault="001C1FC2" w:rsidP="00881017">
      <w:pPr>
        <w:pStyle w:val="ListParagraph"/>
        <w:numPr>
          <w:ilvl w:val="0"/>
          <w:numId w:val="7"/>
        </w:numPr>
        <w:spacing w:after="0"/>
        <w:contextualSpacing w:val="0"/>
        <w:rPr>
          <w:rFonts w:ascii="Times New Roman" w:hAnsi="Times New Roman" w:cs="Times New Roman"/>
          <w:sz w:val="24"/>
          <w:szCs w:val="24"/>
        </w:rPr>
      </w:pPr>
      <w:r w:rsidRPr="001C1FC2">
        <w:rPr>
          <w:rFonts w:ascii="Times New Roman" w:hAnsi="Times New Roman" w:cs="Times New Roman"/>
          <w:sz w:val="24"/>
          <w:szCs w:val="24"/>
        </w:rPr>
        <w:lastRenderedPageBreak/>
        <w:t>Average exports increased $20.2 billion from June 2017.</w:t>
      </w:r>
    </w:p>
    <w:p w14:paraId="2B24AA6C" w14:textId="392BBA96" w:rsidR="00F65176" w:rsidRPr="00397D96" w:rsidRDefault="001C1FC2" w:rsidP="00881017">
      <w:pPr>
        <w:pStyle w:val="ListParagraph"/>
        <w:numPr>
          <w:ilvl w:val="0"/>
          <w:numId w:val="7"/>
        </w:numPr>
        <w:spacing w:after="120"/>
        <w:contextualSpacing w:val="0"/>
        <w:rPr>
          <w:rFonts w:ascii="Times New Roman" w:hAnsi="Times New Roman" w:cs="Times New Roman"/>
          <w:sz w:val="24"/>
          <w:szCs w:val="24"/>
        </w:rPr>
      </w:pPr>
      <w:r w:rsidRPr="001C1FC2">
        <w:rPr>
          <w:rFonts w:ascii="Times New Roman" w:hAnsi="Times New Roman" w:cs="Times New Roman"/>
          <w:sz w:val="24"/>
          <w:szCs w:val="24"/>
        </w:rPr>
        <w:t>Average imports increased $19.9 billion from June 2017.</w:t>
      </w:r>
    </w:p>
    <w:p w14:paraId="7568173E" w14:textId="3DF950B8" w:rsidR="00F65176" w:rsidRPr="005B61C2" w:rsidRDefault="00593E4B" w:rsidP="005B61C2">
      <w:pPr>
        <w:spacing w:after="0"/>
        <w:ind w:left="-360"/>
        <w:rPr>
          <w:rFonts w:ascii="Times New Roman" w:hAnsi="Times New Roman" w:cs="Times New Roman"/>
          <w:b/>
          <w:sz w:val="24"/>
          <w:szCs w:val="24"/>
        </w:rPr>
      </w:pPr>
      <w:r w:rsidRPr="00593E4B">
        <w:rPr>
          <w:rFonts w:ascii="Times New Roman" w:hAnsi="Times New Roman" w:cs="Times New Roman"/>
          <w:b/>
          <w:sz w:val="24"/>
          <w:szCs w:val="24"/>
        </w:rPr>
        <w:t>Exports (Exhibits 3, 6, and 7)</w:t>
      </w:r>
    </w:p>
    <w:p w14:paraId="004B8453" w14:textId="1107929C" w:rsidR="00490E68" w:rsidRDefault="001C1FC2" w:rsidP="00B326C2">
      <w:pPr>
        <w:spacing w:after="120"/>
        <w:ind w:left="-360"/>
        <w:rPr>
          <w:rFonts w:ascii="Times New Roman" w:hAnsi="Times New Roman" w:cs="Times New Roman"/>
          <w:noProof/>
          <w:sz w:val="24"/>
          <w:szCs w:val="24"/>
        </w:rPr>
      </w:pPr>
      <w:r w:rsidRPr="001C1FC2">
        <w:rPr>
          <w:rFonts w:ascii="Times New Roman" w:hAnsi="Times New Roman" w:cs="Times New Roman"/>
          <w:noProof/>
          <w:sz w:val="24"/>
          <w:szCs w:val="24"/>
        </w:rPr>
        <w:t>Exports of goods decreased $1.7 billion to $143.2 billion in June.</w:t>
      </w:r>
    </w:p>
    <w:p w14:paraId="493717D0" w14:textId="249BA84D" w:rsidR="00C948C6" w:rsidRDefault="001C1FC2" w:rsidP="006B109E">
      <w:pPr>
        <w:spacing w:after="120"/>
        <w:ind w:left="-360" w:firstLine="360"/>
        <w:rPr>
          <w:rFonts w:ascii="Times New Roman" w:hAnsi="Times New Roman" w:cs="Times New Roman"/>
          <w:noProof/>
          <w:sz w:val="24"/>
          <w:szCs w:val="24"/>
        </w:rPr>
      </w:pPr>
      <w:r w:rsidRPr="001C1FC2">
        <w:rPr>
          <w:rFonts w:ascii="Times New Roman" w:hAnsi="Times New Roman" w:cs="Times New Roman"/>
          <w:noProof/>
          <w:sz w:val="24"/>
          <w:szCs w:val="24"/>
        </w:rPr>
        <w:t>Exports of goods on a Census basis decreased $1.7 billion.</w:t>
      </w:r>
    </w:p>
    <w:p w14:paraId="0B287AA7" w14:textId="412E97E0" w:rsidR="00C64387" w:rsidRPr="00836493" w:rsidRDefault="00A6491A" w:rsidP="00C64387">
      <w:pPr>
        <w:numPr>
          <w:ilvl w:val="1"/>
          <w:numId w:val="3"/>
        </w:numPr>
        <w:spacing w:after="0"/>
        <w:rPr>
          <w:rFonts w:ascii="Times New Roman" w:hAnsi="Times New Roman" w:cs="Times New Roman"/>
          <w:noProof/>
          <w:sz w:val="24"/>
          <w:szCs w:val="24"/>
        </w:rPr>
      </w:pPr>
      <w:r w:rsidRPr="00836493">
        <w:rPr>
          <w:rFonts w:ascii="Times New Roman" w:hAnsi="Times New Roman" w:cs="Times New Roman"/>
          <w:noProof/>
          <w:sz w:val="24"/>
          <w:szCs w:val="24"/>
        </w:rPr>
        <w:t>Consumer goods decreased $1.4 billion</w:t>
      </w:r>
      <w:r w:rsidR="00C64387" w:rsidRPr="00836493">
        <w:rPr>
          <w:rFonts w:ascii="Times New Roman" w:hAnsi="Times New Roman" w:cs="Times New Roman"/>
          <w:noProof/>
          <w:sz w:val="24"/>
          <w:szCs w:val="24"/>
        </w:rPr>
        <w:t>.</w:t>
      </w:r>
    </w:p>
    <w:p w14:paraId="37C05CFE" w14:textId="5EC1EA94" w:rsidR="00C64387" w:rsidRPr="00836493" w:rsidRDefault="00A6491A" w:rsidP="00A6491A">
      <w:pPr>
        <w:numPr>
          <w:ilvl w:val="2"/>
          <w:numId w:val="3"/>
        </w:numPr>
        <w:spacing w:after="0"/>
        <w:rPr>
          <w:rFonts w:ascii="Times New Roman" w:hAnsi="Times New Roman" w:cs="Times New Roman"/>
          <w:noProof/>
          <w:sz w:val="24"/>
          <w:szCs w:val="24"/>
        </w:rPr>
      </w:pPr>
      <w:r w:rsidRPr="00836493">
        <w:rPr>
          <w:rFonts w:ascii="Times New Roman" w:hAnsi="Times New Roman" w:cs="Times New Roman"/>
          <w:noProof/>
          <w:sz w:val="24"/>
          <w:szCs w:val="24"/>
        </w:rPr>
        <w:t>Pharmaceutical preparations decreased $0.6 billion.</w:t>
      </w:r>
    </w:p>
    <w:p w14:paraId="50512434" w14:textId="49B2974C" w:rsidR="00A6491A" w:rsidRPr="00836493" w:rsidRDefault="00A6491A" w:rsidP="00A6491A">
      <w:pPr>
        <w:numPr>
          <w:ilvl w:val="2"/>
          <w:numId w:val="3"/>
        </w:numPr>
        <w:spacing w:after="0"/>
        <w:rPr>
          <w:rFonts w:ascii="Times New Roman" w:hAnsi="Times New Roman" w:cs="Times New Roman"/>
          <w:noProof/>
          <w:sz w:val="24"/>
          <w:szCs w:val="24"/>
        </w:rPr>
      </w:pPr>
      <w:r w:rsidRPr="00836493">
        <w:rPr>
          <w:rFonts w:ascii="Times New Roman" w:hAnsi="Times New Roman" w:cs="Times New Roman"/>
          <w:noProof/>
          <w:sz w:val="24"/>
          <w:szCs w:val="24"/>
        </w:rPr>
        <w:t>Jewelry decreased $0.4 billion.</w:t>
      </w:r>
    </w:p>
    <w:p w14:paraId="5013C145" w14:textId="5B75CAE8" w:rsidR="00CB7266" w:rsidRPr="00836493" w:rsidRDefault="00CF425B" w:rsidP="00CF425B">
      <w:pPr>
        <w:numPr>
          <w:ilvl w:val="1"/>
          <w:numId w:val="3"/>
        </w:numPr>
        <w:spacing w:after="0"/>
        <w:rPr>
          <w:rFonts w:ascii="Times New Roman" w:hAnsi="Times New Roman" w:cs="Times New Roman"/>
          <w:noProof/>
          <w:sz w:val="24"/>
          <w:szCs w:val="24"/>
        </w:rPr>
      </w:pPr>
      <w:r w:rsidRPr="00836493">
        <w:rPr>
          <w:rFonts w:ascii="Times New Roman" w:hAnsi="Times New Roman" w:cs="Times New Roman"/>
          <w:noProof/>
          <w:sz w:val="24"/>
          <w:szCs w:val="24"/>
        </w:rPr>
        <w:t>Cap</w:t>
      </w:r>
      <w:r w:rsidR="00F36496">
        <w:rPr>
          <w:rFonts w:ascii="Times New Roman" w:hAnsi="Times New Roman" w:cs="Times New Roman"/>
          <w:noProof/>
          <w:sz w:val="24"/>
          <w:szCs w:val="24"/>
        </w:rPr>
        <w:t>it</w:t>
      </w:r>
      <w:r w:rsidRPr="00836493">
        <w:rPr>
          <w:rFonts w:ascii="Times New Roman" w:hAnsi="Times New Roman" w:cs="Times New Roman"/>
          <w:noProof/>
          <w:sz w:val="24"/>
          <w:szCs w:val="24"/>
        </w:rPr>
        <w:t xml:space="preserve">al </w:t>
      </w:r>
      <w:r w:rsidR="00F36496">
        <w:rPr>
          <w:rFonts w:ascii="Times New Roman" w:hAnsi="Times New Roman" w:cs="Times New Roman"/>
          <w:noProof/>
          <w:sz w:val="24"/>
          <w:szCs w:val="24"/>
        </w:rPr>
        <w:t>g</w:t>
      </w:r>
      <w:r w:rsidRPr="00836493">
        <w:rPr>
          <w:rFonts w:ascii="Times New Roman" w:hAnsi="Times New Roman" w:cs="Times New Roman"/>
          <w:noProof/>
          <w:sz w:val="24"/>
          <w:szCs w:val="24"/>
        </w:rPr>
        <w:t>oods decreased $0.9 billion.</w:t>
      </w:r>
    </w:p>
    <w:p w14:paraId="0795E709" w14:textId="66D622B5" w:rsidR="00265E75" w:rsidRPr="00836493" w:rsidRDefault="00F36496" w:rsidP="00CF425B">
      <w:pPr>
        <w:pStyle w:val="ListParagraph"/>
        <w:numPr>
          <w:ilvl w:val="2"/>
          <w:numId w:val="3"/>
        </w:numPr>
        <w:spacing w:after="0"/>
        <w:rPr>
          <w:rFonts w:ascii="Times New Roman" w:hAnsi="Times New Roman" w:cs="Times New Roman"/>
          <w:noProof/>
          <w:sz w:val="24"/>
          <w:szCs w:val="24"/>
        </w:rPr>
      </w:pPr>
      <w:r>
        <w:rPr>
          <w:rFonts w:ascii="Times New Roman" w:hAnsi="Times New Roman" w:cs="Times New Roman"/>
          <w:noProof/>
          <w:sz w:val="24"/>
          <w:szCs w:val="24"/>
        </w:rPr>
        <w:t>C</w:t>
      </w:r>
      <w:r w:rsidR="00CF425B" w:rsidRPr="00836493">
        <w:rPr>
          <w:rFonts w:ascii="Times New Roman" w:hAnsi="Times New Roman" w:cs="Times New Roman"/>
          <w:noProof/>
          <w:sz w:val="24"/>
          <w:szCs w:val="24"/>
        </w:rPr>
        <w:t>ivilian aircraft</w:t>
      </w:r>
      <w:r>
        <w:rPr>
          <w:rFonts w:ascii="Times New Roman" w:hAnsi="Times New Roman" w:cs="Times New Roman"/>
          <w:noProof/>
          <w:sz w:val="24"/>
          <w:szCs w:val="24"/>
        </w:rPr>
        <w:t xml:space="preserve"> engines</w:t>
      </w:r>
      <w:r w:rsidR="00CF425B" w:rsidRPr="00836493">
        <w:rPr>
          <w:rFonts w:ascii="Times New Roman" w:hAnsi="Times New Roman" w:cs="Times New Roman"/>
          <w:noProof/>
          <w:sz w:val="24"/>
          <w:szCs w:val="24"/>
        </w:rPr>
        <w:t xml:space="preserve"> decreased $0.4 billion.</w:t>
      </w:r>
    </w:p>
    <w:p w14:paraId="594CD1DE" w14:textId="5E1CB045" w:rsidR="00CF425B" w:rsidRPr="00836493" w:rsidRDefault="00CF425B" w:rsidP="00CF425B">
      <w:pPr>
        <w:pStyle w:val="ListParagraph"/>
        <w:numPr>
          <w:ilvl w:val="2"/>
          <w:numId w:val="3"/>
        </w:numPr>
        <w:spacing w:after="0"/>
        <w:rPr>
          <w:rFonts w:ascii="Times New Roman" w:hAnsi="Times New Roman" w:cs="Times New Roman"/>
          <w:noProof/>
          <w:sz w:val="24"/>
          <w:szCs w:val="24"/>
        </w:rPr>
      </w:pPr>
      <w:r w:rsidRPr="00836493">
        <w:rPr>
          <w:rFonts w:ascii="Times New Roman" w:hAnsi="Times New Roman" w:cs="Times New Roman"/>
          <w:noProof/>
          <w:sz w:val="24"/>
          <w:szCs w:val="24"/>
        </w:rPr>
        <w:t>Civilian aircraft decreased $0.2 billion.</w:t>
      </w:r>
    </w:p>
    <w:p w14:paraId="6338EEA3" w14:textId="3E7385CA" w:rsidR="00C64387" w:rsidRPr="00836493" w:rsidRDefault="00836493" w:rsidP="00836493">
      <w:pPr>
        <w:numPr>
          <w:ilvl w:val="1"/>
          <w:numId w:val="3"/>
        </w:numPr>
        <w:spacing w:after="0"/>
        <w:rPr>
          <w:rFonts w:ascii="Times New Roman" w:hAnsi="Times New Roman" w:cs="Times New Roman"/>
          <w:noProof/>
          <w:sz w:val="24"/>
          <w:szCs w:val="24"/>
        </w:rPr>
      </w:pPr>
      <w:r w:rsidRPr="00836493">
        <w:rPr>
          <w:rFonts w:ascii="Times New Roman" w:hAnsi="Times New Roman" w:cs="Times New Roman"/>
          <w:noProof/>
          <w:sz w:val="24"/>
          <w:szCs w:val="24"/>
        </w:rPr>
        <w:t>Automotive vehicles, parts, and engines decreased $0.7 billion.</w:t>
      </w:r>
    </w:p>
    <w:p w14:paraId="4E242C14" w14:textId="3FFE765C" w:rsidR="00C64387" w:rsidRDefault="00836493" w:rsidP="00836493">
      <w:pPr>
        <w:numPr>
          <w:ilvl w:val="2"/>
          <w:numId w:val="3"/>
        </w:numPr>
        <w:spacing w:after="0"/>
        <w:rPr>
          <w:rFonts w:ascii="Times New Roman" w:hAnsi="Times New Roman" w:cs="Times New Roman"/>
          <w:noProof/>
          <w:sz w:val="24"/>
          <w:szCs w:val="24"/>
        </w:rPr>
      </w:pPr>
      <w:r w:rsidRPr="00836493">
        <w:rPr>
          <w:rFonts w:ascii="Times New Roman" w:hAnsi="Times New Roman" w:cs="Times New Roman"/>
          <w:noProof/>
          <w:sz w:val="24"/>
          <w:szCs w:val="24"/>
        </w:rPr>
        <w:t>Passenger cars decreased $0.9 billion.</w:t>
      </w:r>
    </w:p>
    <w:p w14:paraId="2134B985" w14:textId="6B793FF0" w:rsidR="00AD2776" w:rsidRDefault="00AD2776" w:rsidP="00AD2776">
      <w:pPr>
        <w:numPr>
          <w:ilvl w:val="1"/>
          <w:numId w:val="3"/>
        </w:numPr>
        <w:spacing w:after="0"/>
        <w:rPr>
          <w:rFonts w:ascii="Times New Roman" w:hAnsi="Times New Roman" w:cs="Times New Roman"/>
          <w:noProof/>
          <w:sz w:val="24"/>
          <w:szCs w:val="24"/>
        </w:rPr>
      </w:pPr>
      <w:r w:rsidRPr="00AD2776">
        <w:rPr>
          <w:rFonts w:ascii="Times New Roman" w:hAnsi="Times New Roman" w:cs="Times New Roman"/>
          <w:noProof/>
          <w:sz w:val="24"/>
          <w:szCs w:val="24"/>
        </w:rPr>
        <w:t>Industrial supplies and materials increased $2.0 billion.</w:t>
      </w:r>
    </w:p>
    <w:p w14:paraId="2596D7EB" w14:textId="0973C8A5" w:rsidR="00AD2776" w:rsidRDefault="00B96600" w:rsidP="00AD2776">
      <w:pPr>
        <w:numPr>
          <w:ilvl w:val="2"/>
          <w:numId w:val="3"/>
        </w:numPr>
        <w:spacing w:after="0"/>
        <w:rPr>
          <w:rFonts w:ascii="Times New Roman" w:hAnsi="Times New Roman" w:cs="Times New Roman"/>
          <w:noProof/>
          <w:sz w:val="24"/>
          <w:szCs w:val="24"/>
        </w:rPr>
      </w:pPr>
      <w:r>
        <w:rPr>
          <w:rFonts w:ascii="Times New Roman" w:hAnsi="Times New Roman" w:cs="Times New Roman"/>
          <w:noProof/>
          <w:sz w:val="24"/>
          <w:szCs w:val="24"/>
        </w:rPr>
        <w:t xml:space="preserve">Other petroleum products </w:t>
      </w:r>
      <w:r w:rsidR="00AD2776" w:rsidRPr="00AD2776">
        <w:rPr>
          <w:rFonts w:ascii="Times New Roman" w:hAnsi="Times New Roman" w:cs="Times New Roman"/>
          <w:noProof/>
          <w:sz w:val="24"/>
          <w:szCs w:val="24"/>
        </w:rPr>
        <w:t>increased $0.5 billion.</w:t>
      </w:r>
    </w:p>
    <w:p w14:paraId="24050904" w14:textId="20625C6F" w:rsidR="00AD2776" w:rsidRDefault="00AD2776" w:rsidP="00AD2776">
      <w:pPr>
        <w:numPr>
          <w:ilvl w:val="2"/>
          <w:numId w:val="3"/>
        </w:numPr>
        <w:spacing w:after="0"/>
        <w:rPr>
          <w:rFonts w:ascii="Times New Roman" w:hAnsi="Times New Roman" w:cs="Times New Roman"/>
          <w:noProof/>
          <w:sz w:val="24"/>
          <w:szCs w:val="24"/>
        </w:rPr>
      </w:pPr>
      <w:r w:rsidRPr="00AD2776">
        <w:rPr>
          <w:rFonts w:ascii="Times New Roman" w:hAnsi="Times New Roman" w:cs="Times New Roman"/>
          <w:noProof/>
          <w:sz w:val="24"/>
          <w:szCs w:val="24"/>
        </w:rPr>
        <w:t>Nonmonetary gold increased $0.5 billion.</w:t>
      </w:r>
    </w:p>
    <w:p w14:paraId="7880E337" w14:textId="438BE9E2" w:rsidR="00AD2776" w:rsidRPr="00836493" w:rsidRDefault="00AD2776" w:rsidP="00AD2776">
      <w:pPr>
        <w:numPr>
          <w:ilvl w:val="2"/>
          <w:numId w:val="3"/>
        </w:numPr>
        <w:spacing w:after="0"/>
        <w:rPr>
          <w:rFonts w:ascii="Times New Roman" w:hAnsi="Times New Roman" w:cs="Times New Roman"/>
          <w:noProof/>
          <w:sz w:val="24"/>
          <w:szCs w:val="24"/>
        </w:rPr>
      </w:pPr>
      <w:r w:rsidRPr="00AD2776">
        <w:rPr>
          <w:rFonts w:ascii="Times New Roman" w:hAnsi="Times New Roman" w:cs="Times New Roman"/>
          <w:noProof/>
          <w:sz w:val="24"/>
          <w:szCs w:val="24"/>
        </w:rPr>
        <w:t>Fuel oil increased $0.5 billion.</w:t>
      </w:r>
    </w:p>
    <w:p w14:paraId="15B2696E" w14:textId="4868486A" w:rsidR="00422991" w:rsidRDefault="001C1FC2" w:rsidP="002A777B">
      <w:pPr>
        <w:spacing w:before="120" w:after="120"/>
        <w:ind w:left="-360" w:firstLine="360"/>
        <w:rPr>
          <w:rFonts w:ascii="Times New Roman" w:hAnsi="Times New Roman" w:cs="Times New Roman"/>
          <w:noProof/>
          <w:sz w:val="24"/>
          <w:szCs w:val="24"/>
        </w:rPr>
      </w:pPr>
      <w:r w:rsidRPr="001C1FC2">
        <w:rPr>
          <w:rFonts w:ascii="Times New Roman" w:hAnsi="Times New Roman" w:cs="Times New Roman"/>
          <w:noProof/>
          <w:sz w:val="24"/>
          <w:szCs w:val="24"/>
        </w:rPr>
        <w:t xml:space="preserve">Net balance of payments adjustments increased </w:t>
      </w:r>
      <w:r w:rsidR="001D5D3C">
        <w:rPr>
          <w:rFonts w:ascii="Times New Roman" w:hAnsi="Times New Roman" w:cs="Times New Roman"/>
          <w:noProof/>
          <w:sz w:val="24"/>
          <w:szCs w:val="24"/>
        </w:rPr>
        <w:t>less than $0.1 billion</w:t>
      </w:r>
      <w:r w:rsidRPr="001C1FC2">
        <w:rPr>
          <w:rFonts w:ascii="Times New Roman" w:hAnsi="Times New Roman" w:cs="Times New Roman"/>
          <w:noProof/>
          <w:sz w:val="24"/>
          <w:szCs w:val="24"/>
        </w:rPr>
        <w:t>.</w:t>
      </w:r>
    </w:p>
    <w:p w14:paraId="7118A4E8" w14:textId="1EC72D6D" w:rsidR="005928F4" w:rsidRPr="005928F4" w:rsidRDefault="005928F4" w:rsidP="005928F4">
      <w:pPr>
        <w:spacing w:before="120" w:after="0"/>
        <w:ind w:left="-360"/>
        <w:rPr>
          <w:rFonts w:ascii="Times New Roman" w:hAnsi="Times New Roman" w:cs="Times New Roman"/>
          <w:noProof/>
          <w:sz w:val="24"/>
          <w:szCs w:val="24"/>
        </w:rPr>
      </w:pPr>
      <w:bookmarkStart w:id="2" w:name="_Hlk512848906"/>
      <w:r w:rsidRPr="005928F4">
        <w:rPr>
          <w:rFonts w:ascii="Times New Roman" w:hAnsi="Times New Roman" w:cs="Times New Roman"/>
          <w:noProof/>
          <w:sz w:val="24"/>
          <w:szCs w:val="24"/>
        </w:rPr>
        <w:t>Exports of services increased $0.2 billion to $70.6 billion in June.</w:t>
      </w:r>
    </w:p>
    <w:p w14:paraId="597B496C" w14:textId="77777777" w:rsidR="005928F4" w:rsidRPr="005928F4" w:rsidRDefault="005928F4" w:rsidP="005928F4">
      <w:pPr>
        <w:numPr>
          <w:ilvl w:val="0"/>
          <w:numId w:val="19"/>
        </w:numPr>
        <w:spacing w:before="120" w:after="0"/>
        <w:rPr>
          <w:rFonts w:ascii="Times New Roman" w:hAnsi="Times New Roman" w:cs="Times New Roman"/>
          <w:noProof/>
          <w:sz w:val="24"/>
          <w:szCs w:val="24"/>
        </w:rPr>
      </w:pPr>
      <w:bookmarkStart w:id="3" w:name="_Hlk510422146"/>
      <w:r w:rsidRPr="005928F4">
        <w:rPr>
          <w:rFonts w:ascii="Times New Roman" w:hAnsi="Times New Roman" w:cs="Times New Roman"/>
          <w:noProof/>
          <w:sz w:val="24"/>
          <w:szCs w:val="24"/>
        </w:rPr>
        <w:t xml:space="preserve">Financial services </w:t>
      </w:r>
      <w:bookmarkEnd w:id="3"/>
      <w:r w:rsidRPr="005928F4">
        <w:rPr>
          <w:rFonts w:ascii="Times New Roman" w:hAnsi="Times New Roman" w:cs="Times New Roman"/>
          <w:noProof/>
          <w:sz w:val="24"/>
          <w:szCs w:val="24"/>
        </w:rPr>
        <w:t xml:space="preserve">increased $0.1 billion. </w:t>
      </w:r>
    </w:p>
    <w:bookmarkEnd w:id="2"/>
    <w:p w14:paraId="0D9A76B3" w14:textId="77777777" w:rsidR="003133E9" w:rsidRDefault="00593E4B" w:rsidP="00422991">
      <w:pPr>
        <w:spacing w:before="120" w:after="0"/>
        <w:ind w:left="-360"/>
        <w:rPr>
          <w:rFonts w:ascii="Times New Roman" w:hAnsi="Times New Roman" w:cs="Times New Roman"/>
          <w:b/>
          <w:noProof/>
          <w:sz w:val="24"/>
          <w:szCs w:val="24"/>
        </w:rPr>
      </w:pPr>
      <w:r w:rsidRPr="00593E4B">
        <w:rPr>
          <w:rFonts w:ascii="Times New Roman" w:hAnsi="Times New Roman" w:cs="Times New Roman"/>
          <w:b/>
          <w:noProof/>
          <w:sz w:val="24"/>
          <w:szCs w:val="24"/>
        </w:rPr>
        <w:t>Imports (Exhibits 4, 6, and 8)</w:t>
      </w:r>
    </w:p>
    <w:p w14:paraId="2430CD35" w14:textId="23B22170" w:rsidR="00C2068D" w:rsidRDefault="001C1FC2" w:rsidP="003133E9">
      <w:pPr>
        <w:spacing w:after="120"/>
        <w:ind w:left="-360"/>
        <w:rPr>
          <w:rFonts w:ascii="Times New Roman" w:hAnsi="Times New Roman" w:cs="Times New Roman"/>
          <w:noProof/>
          <w:sz w:val="24"/>
          <w:szCs w:val="24"/>
        </w:rPr>
      </w:pPr>
      <w:r w:rsidRPr="001C1FC2">
        <w:rPr>
          <w:rFonts w:ascii="Times New Roman" w:hAnsi="Times New Roman" w:cs="Times New Roman"/>
          <w:noProof/>
          <w:sz w:val="24"/>
          <w:szCs w:val="24"/>
        </w:rPr>
        <w:t>Imports of goods increased $1.4 billion to $212.0 billion in June.</w:t>
      </w:r>
    </w:p>
    <w:p w14:paraId="016FBF52" w14:textId="02A6F11E" w:rsidR="00C2068D" w:rsidRPr="0068721B" w:rsidRDefault="001C1FC2" w:rsidP="00D5389B">
      <w:pPr>
        <w:spacing w:after="0" w:line="240" w:lineRule="auto"/>
        <w:ind w:left="-360" w:firstLine="360"/>
        <w:rPr>
          <w:rFonts w:ascii="Times New Roman" w:hAnsi="Times New Roman" w:cs="Times New Roman"/>
          <w:noProof/>
          <w:sz w:val="24"/>
          <w:szCs w:val="24"/>
        </w:rPr>
      </w:pPr>
      <w:r w:rsidRPr="001C1FC2">
        <w:rPr>
          <w:rFonts w:ascii="Times New Roman" w:hAnsi="Times New Roman" w:cs="Times New Roman"/>
          <w:noProof/>
          <w:sz w:val="24"/>
          <w:szCs w:val="24"/>
        </w:rPr>
        <w:t>Imports of goods on a Census basis increased $1.5 billion.</w:t>
      </w:r>
    </w:p>
    <w:p w14:paraId="6F55F3BC" w14:textId="33D9983F" w:rsidR="004F7081" w:rsidRPr="00AD2776" w:rsidRDefault="00836493" w:rsidP="00A918E9">
      <w:pPr>
        <w:numPr>
          <w:ilvl w:val="1"/>
          <w:numId w:val="3"/>
        </w:numPr>
        <w:spacing w:before="240" w:after="0"/>
        <w:rPr>
          <w:rFonts w:ascii="Times New Roman" w:hAnsi="Times New Roman" w:cs="Times New Roman"/>
          <w:noProof/>
          <w:sz w:val="24"/>
          <w:szCs w:val="24"/>
        </w:rPr>
      </w:pPr>
      <w:r w:rsidRPr="00AD2776">
        <w:rPr>
          <w:rFonts w:ascii="Times New Roman" w:hAnsi="Times New Roman" w:cs="Times New Roman"/>
          <w:noProof/>
          <w:sz w:val="24"/>
          <w:szCs w:val="24"/>
        </w:rPr>
        <w:t>Consumer goods increased $2.0 billion.</w:t>
      </w:r>
    </w:p>
    <w:p w14:paraId="3E3B5CB5" w14:textId="062BB0EC" w:rsidR="009C7503" w:rsidRPr="00AD2776" w:rsidRDefault="00836493" w:rsidP="00836493">
      <w:pPr>
        <w:numPr>
          <w:ilvl w:val="2"/>
          <w:numId w:val="3"/>
        </w:numPr>
        <w:spacing w:after="0"/>
        <w:rPr>
          <w:rFonts w:ascii="Times New Roman" w:hAnsi="Times New Roman" w:cs="Times New Roman"/>
          <w:noProof/>
          <w:sz w:val="24"/>
          <w:szCs w:val="24"/>
        </w:rPr>
      </w:pPr>
      <w:r w:rsidRPr="00AD2776">
        <w:rPr>
          <w:rFonts w:ascii="Times New Roman" w:hAnsi="Times New Roman" w:cs="Times New Roman"/>
          <w:noProof/>
          <w:sz w:val="24"/>
          <w:szCs w:val="24"/>
        </w:rPr>
        <w:t>Pharmaceutical preparations increased $1.5 billion.</w:t>
      </w:r>
    </w:p>
    <w:p w14:paraId="3FA4868C" w14:textId="49CEF3C3" w:rsidR="009C7503" w:rsidRPr="00AD2776" w:rsidRDefault="00AD2776" w:rsidP="00AD2776">
      <w:pPr>
        <w:numPr>
          <w:ilvl w:val="1"/>
          <w:numId w:val="3"/>
        </w:numPr>
        <w:spacing w:after="0"/>
        <w:rPr>
          <w:rFonts w:ascii="Times New Roman" w:hAnsi="Times New Roman" w:cs="Times New Roman"/>
          <w:noProof/>
          <w:sz w:val="24"/>
          <w:szCs w:val="24"/>
        </w:rPr>
      </w:pPr>
      <w:r w:rsidRPr="00AD2776">
        <w:rPr>
          <w:rFonts w:ascii="Times New Roman" w:hAnsi="Times New Roman" w:cs="Times New Roman"/>
          <w:noProof/>
          <w:sz w:val="24"/>
          <w:szCs w:val="24"/>
        </w:rPr>
        <w:t>Industrial supplies and materials increased $0.9 billion.</w:t>
      </w:r>
    </w:p>
    <w:p w14:paraId="6F553AF7" w14:textId="2C6DEDDC" w:rsidR="009C7503" w:rsidRPr="00B96600" w:rsidRDefault="00AD2776" w:rsidP="00AD2776">
      <w:pPr>
        <w:numPr>
          <w:ilvl w:val="2"/>
          <w:numId w:val="3"/>
        </w:numPr>
        <w:spacing w:after="0"/>
        <w:rPr>
          <w:rFonts w:ascii="Times New Roman" w:hAnsi="Times New Roman" w:cs="Times New Roman"/>
          <w:noProof/>
          <w:sz w:val="24"/>
          <w:szCs w:val="24"/>
        </w:rPr>
      </w:pPr>
      <w:r w:rsidRPr="00B96600">
        <w:rPr>
          <w:rFonts w:ascii="Times New Roman" w:hAnsi="Times New Roman" w:cs="Times New Roman"/>
          <w:noProof/>
          <w:sz w:val="24"/>
          <w:szCs w:val="24"/>
        </w:rPr>
        <w:t>Crude oil increased $1.2 billion.</w:t>
      </w:r>
    </w:p>
    <w:p w14:paraId="4F8971DA" w14:textId="50F60A03" w:rsidR="00310EEA" w:rsidRPr="00B96600" w:rsidRDefault="00AD2776" w:rsidP="00AD2776">
      <w:pPr>
        <w:numPr>
          <w:ilvl w:val="1"/>
          <w:numId w:val="3"/>
        </w:numPr>
        <w:spacing w:after="0"/>
        <w:rPr>
          <w:rFonts w:ascii="Times New Roman" w:hAnsi="Times New Roman" w:cs="Times New Roman"/>
          <w:noProof/>
          <w:sz w:val="24"/>
          <w:szCs w:val="24"/>
        </w:rPr>
      </w:pPr>
      <w:r w:rsidRPr="00B96600">
        <w:rPr>
          <w:rFonts w:ascii="Times New Roman" w:hAnsi="Times New Roman" w:cs="Times New Roman"/>
          <w:noProof/>
          <w:sz w:val="24"/>
          <w:szCs w:val="24"/>
        </w:rPr>
        <w:t>Capital goods decreased $1.5 billion.</w:t>
      </w:r>
    </w:p>
    <w:p w14:paraId="55C26BF3" w14:textId="5BD5444F" w:rsidR="00B96600" w:rsidRPr="00B96600" w:rsidRDefault="00B96600" w:rsidP="00B96600">
      <w:pPr>
        <w:numPr>
          <w:ilvl w:val="2"/>
          <w:numId w:val="3"/>
        </w:numPr>
        <w:spacing w:after="0"/>
        <w:rPr>
          <w:rFonts w:ascii="Times New Roman" w:hAnsi="Times New Roman" w:cs="Times New Roman"/>
          <w:noProof/>
          <w:sz w:val="24"/>
          <w:szCs w:val="24"/>
        </w:rPr>
      </w:pPr>
      <w:r w:rsidRPr="00B96600">
        <w:rPr>
          <w:rFonts w:ascii="Times New Roman" w:hAnsi="Times New Roman" w:cs="Times New Roman"/>
          <w:noProof/>
          <w:sz w:val="24"/>
          <w:szCs w:val="24"/>
        </w:rPr>
        <w:t>Computers decreased $0.8 billion.</w:t>
      </w:r>
    </w:p>
    <w:p w14:paraId="1FAA7314" w14:textId="70025049" w:rsidR="00B96600" w:rsidRPr="00B96600" w:rsidRDefault="00B96600" w:rsidP="00B96600">
      <w:pPr>
        <w:numPr>
          <w:ilvl w:val="2"/>
          <w:numId w:val="3"/>
        </w:numPr>
        <w:spacing w:after="0"/>
        <w:rPr>
          <w:rFonts w:ascii="Times New Roman" w:hAnsi="Times New Roman" w:cs="Times New Roman"/>
          <w:noProof/>
          <w:sz w:val="24"/>
          <w:szCs w:val="24"/>
        </w:rPr>
      </w:pPr>
      <w:r w:rsidRPr="00B96600">
        <w:rPr>
          <w:rFonts w:ascii="Times New Roman" w:hAnsi="Times New Roman" w:cs="Times New Roman"/>
          <w:noProof/>
          <w:sz w:val="24"/>
          <w:szCs w:val="24"/>
        </w:rPr>
        <w:t>Telecommunications equipment decreased $0.5 billion.</w:t>
      </w:r>
    </w:p>
    <w:p w14:paraId="04604A58" w14:textId="4BD1C166" w:rsidR="00A95685" w:rsidRDefault="001C1FC2" w:rsidP="0072449D">
      <w:pPr>
        <w:spacing w:before="120" w:after="120"/>
        <w:ind w:left="-360" w:firstLine="360"/>
        <w:rPr>
          <w:rFonts w:ascii="Times New Roman" w:hAnsi="Times New Roman" w:cs="Times New Roman"/>
          <w:noProof/>
          <w:sz w:val="24"/>
          <w:szCs w:val="24"/>
        </w:rPr>
      </w:pPr>
      <w:r w:rsidRPr="001C1FC2">
        <w:rPr>
          <w:rFonts w:ascii="Times New Roman" w:hAnsi="Times New Roman" w:cs="Times New Roman"/>
          <w:noProof/>
          <w:sz w:val="24"/>
          <w:szCs w:val="24"/>
        </w:rPr>
        <w:t>Net balance of payments adjustments decreased $0.1 billion.</w:t>
      </w:r>
    </w:p>
    <w:p w14:paraId="1592C252" w14:textId="53BCE5A0" w:rsidR="006064DE" w:rsidRPr="006064DE" w:rsidRDefault="006064DE" w:rsidP="006064DE">
      <w:pPr>
        <w:spacing w:after="120"/>
        <w:ind w:left="-360"/>
        <w:rPr>
          <w:rFonts w:ascii="Times New Roman" w:hAnsi="Times New Roman" w:cs="Times New Roman"/>
          <w:noProof/>
          <w:sz w:val="24"/>
          <w:szCs w:val="24"/>
        </w:rPr>
      </w:pPr>
      <w:r w:rsidRPr="006064DE">
        <w:rPr>
          <w:rFonts w:ascii="Times New Roman" w:hAnsi="Times New Roman" w:cs="Times New Roman"/>
          <w:noProof/>
          <w:sz w:val="24"/>
          <w:szCs w:val="24"/>
        </w:rPr>
        <w:t>Imports of services increased $0.2 billion to $48.1 billion in June.</w:t>
      </w:r>
    </w:p>
    <w:p w14:paraId="3A358859" w14:textId="77777777" w:rsidR="006064DE" w:rsidRPr="006064DE" w:rsidRDefault="006064DE" w:rsidP="006064DE">
      <w:pPr>
        <w:numPr>
          <w:ilvl w:val="0"/>
          <w:numId w:val="19"/>
        </w:numPr>
        <w:spacing w:after="120"/>
        <w:rPr>
          <w:rFonts w:ascii="Times New Roman" w:hAnsi="Times New Roman" w:cs="Times New Roman"/>
          <w:noProof/>
          <w:sz w:val="24"/>
          <w:szCs w:val="24"/>
        </w:rPr>
      </w:pPr>
      <w:r w:rsidRPr="006064DE">
        <w:rPr>
          <w:rFonts w:ascii="Times New Roman" w:hAnsi="Times New Roman" w:cs="Times New Roman"/>
          <w:noProof/>
          <w:sz w:val="24"/>
          <w:szCs w:val="24"/>
        </w:rPr>
        <w:t xml:space="preserve">Charges for the use of intellectual property increased $0.3 billion. The increase reflects </w:t>
      </w:r>
      <w:bookmarkStart w:id="4" w:name="_Hlk520795571"/>
      <w:r w:rsidRPr="006064DE">
        <w:rPr>
          <w:rFonts w:ascii="Times New Roman" w:hAnsi="Times New Roman" w:cs="Times New Roman"/>
          <w:noProof/>
          <w:sz w:val="24"/>
          <w:szCs w:val="24"/>
        </w:rPr>
        <w:t>payments for the rights to broadcast the portion of the 2018 soccer World Cup that occurred in June</w:t>
      </w:r>
      <w:bookmarkEnd w:id="4"/>
      <w:r w:rsidRPr="006064DE">
        <w:rPr>
          <w:rFonts w:ascii="Times New Roman" w:hAnsi="Times New Roman" w:cs="Times New Roman"/>
          <w:noProof/>
          <w:sz w:val="24"/>
          <w:szCs w:val="24"/>
        </w:rPr>
        <w:t>.</w:t>
      </w:r>
    </w:p>
    <w:p w14:paraId="67E6A8A5" w14:textId="756E48DD" w:rsidR="00674036" w:rsidRDefault="00D602E5" w:rsidP="00D366C3">
      <w:pPr>
        <w:spacing w:after="120"/>
        <w:ind w:left="-360"/>
        <w:rPr>
          <w:rFonts w:ascii="Times New Roman" w:hAnsi="Times New Roman" w:cs="Times New Roman"/>
          <w:noProof/>
          <w:sz w:val="24"/>
          <w:szCs w:val="24"/>
        </w:rPr>
      </w:pPr>
      <w:r w:rsidRPr="00D602E5">
        <w:rPr>
          <w:rFonts w:ascii="Times New Roman" w:hAnsi="Times New Roman" w:cs="Times New Roman"/>
          <w:b/>
          <w:noProof/>
          <w:sz w:val="24"/>
          <w:szCs w:val="24"/>
        </w:rPr>
        <w:t xml:space="preserve">Real Goods in </w:t>
      </w:r>
      <w:r w:rsidR="005E58EE">
        <w:rPr>
          <w:rFonts w:ascii="Times New Roman" w:hAnsi="Times New Roman" w:cs="Times New Roman"/>
          <w:b/>
          <w:noProof/>
          <w:sz w:val="24"/>
          <w:szCs w:val="24"/>
        </w:rPr>
        <w:t>2012</w:t>
      </w:r>
      <w:r w:rsidRPr="00D602E5">
        <w:rPr>
          <w:rFonts w:ascii="Times New Roman" w:hAnsi="Times New Roman" w:cs="Times New Roman"/>
          <w:b/>
          <w:noProof/>
          <w:sz w:val="24"/>
          <w:szCs w:val="24"/>
        </w:rPr>
        <w:t xml:space="preserve"> Dollars – Census Basis (Exhibit 11)</w:t>
      </w:r>
      <w:r>
        <w:rPr>
          <w:rFonts w:ascii="Times New Roman" w:hAnsi="Times New Roman" w:cs="Times New Roman"/>
          <w:b/>
          <w:noProof/>
          <w:sz w:val="24"/>
          <w:szCs w:val="24"/>
        </w:rPr>
        <w:br/>
      </w:r>
      <w:r w:rsidR="001C1FC2" w:rsidRPr="001C1FC2">
        <w:rPr>
          <w:rFonts w:ascii="Times New Roman" w:hAnsi="Times New Roman" w:cs="Times New Roman"/>
          <w:noProof/>
          <w:sz w:val="24"/>
          <w:szCs w:val="24"/>
        </w:rPr>
        <w:t>The real goods deficit increased $3.8 billion to $79.3 billion in June.</w:t>
      </w:r>
    </w:p>
    <w:p w14:paraId="17CE7759" w14:textId="1C5FB5FC" w:rsidR="00674036" w:rsidRPr="00674036" w:rsidRDefault="001C1FC2" w:rsidP="009E311D">
      <w:pPr>
        <w:pStyle w:val="ListParagraph"/>
        <w:numPr>
          <w:ilvl w:val="0"/>
          <w:numId w:val="10"/>
        </w:numPr>
        <w:spacing w:after="0"/>
        <w:contextualSpacing w:val="0"/>
        <w:rPr>
          <w:rFonts w:ascii="Times New Roman" w:hAnsi="Times New Roman" w:cs="Times New Roman"/>
          <w:noProof/>
          <w:sz w:val="24"/>
          <w:szCs w:val="24"/>
        </w:rPr>
      </w:pPr>
      <w:r w:rsidRPr="001C1FC2">
        <w:rPr>
          <w:rFonts w:ascii="Times New Roman" w:hAnsi="Times New Roman" w:cs="Times New Roman"/>
          <w:noProof/>
          <w:sz w:val="24"/>
          <w:szCs w:val="24"/>
        </w:rPr>
        <w:t>Real exports of goods decreased $2.1 billion to $151.1 billion.</w:t>
      </w:r>
    </w:p>
    <w:p w14:paraId="0654CA4D" w14:textId="34AFCF4A" w:rsidR="00D602E5" w:rsidRPr="00674036" w:rsidRDefault="001C1FC2" w:rsidP="00674036">
      <w:pPr>
        <w:pStyle w:val="ListParagraph"/>
        <w:numPr>
          <w:ilvl w:val="0"/>
          <w:numId w:val="10"/>
        </w:numPr>
        <w:spacing w:after="120"/>
        <w:contextualSpacing w:val="0"/>
        <w:rPr>
          <w:rFonts w:ascii="Times New Roman" w:hAnsi="Times New Roman" w:cs="Times New Roman"/>
          <w:noProof/>
          <w:sz w:val="24"/>
          <w:szCs w:val="24"/>
        </w:rPr>
      </w:pPr>
      <w:r w:rsidRPr="001C1FC2">
        <w:rPr>
          <w:rFonts w:ascii="Times New Roman" w:hAnsi="Times New Roman" w:cs="Times New Roman"/>
          <w:noProof/>
          <w:sz w:val="24"/>
          <w:szCs w:val="24"/>
        </w:rPr>
        <w:t>Real imports of goods increased $1.7 billion to $230.4 billion.</w:t>
      </w:r>
    </w:p>
    <w:p w14:paraId="6E834DE5" w14:textId="77777777" w:rsidR="00320862" w:rsidRDefault="00490E68" w:rsidP="00320862">
      <w:pPr>
        <w:spacing w:after="0"/>
        <w:ind w:left="-360"/>
        <w:rPr>
          <w:rFonts w:ascii="Times New Roman" w:hAnsi="Times New Roman" w:cs="Times New Roman"/>
          <w:b/>
          <w:noProof/>
          <w:sz w:val="24"/>
          <w:szCs w:val="24"/>
        </w:rPr>
      </w:pPr>
      <w:r w:rsidRPr="00490E68">
        <w:rPr>
          <w:rFonts w:ascii="Times New Roman" w:hAnsi="Times New Roman" w:cs="Times New Roman"/>
          <w:b/>
          <w:noProof/>
          <w:sz w:val="24"/>
          <w:szCs w:val="24"/>
        </w:rPr>
        <w:t>Revisions</w:t>
      </w:r>
    </w:p>
    <w:p w14:paraId="72FC10D8" w14:textId="5904AF53" w:rsidR="00674036" w:rsidRPr="00674036" w:rsidRDefault="001C1FC2" w:rsidP="00D6567F">
      <w:pPr>
        <w:spacing w:after="0"/>
        <w:ind w:left="-360"/>
        <w:rPr>
          <w:rFonts w:ascii="Times New Roman" w:hAnsi="Times New Roman" w:cs="Times New Roman"/>
          <w:noProof/>
          <w:sz w:val="24"/>
          <w:szCs w:val="24"/>
        </w:rPr>
      </w:pPr>
      <w:r w:rsidRPr="001C1FC2">
        <w:rPr>
          <w:rFonts w:ascii="Times New Roman" w:hAnsi="Times New Roman" w:cs="Times New Roman"/>
          <w:noProof/>
          <w:sz w:val="24"/>
          <w:szCs w:val="24"/>
        </w:rPr>
        <w:t>Revisions to May exports</w:t>
      </w:r>
    </w:p>
    <w:p w14:paraId="4B1F162B" w14:textId="7A162DFA" w:rsidR="00674036" w:rsidRPr="00674036" w:rsidRDefault="001C1FC2" w:rsidP="00326C99">
      <w:pPr>
        <w:pStyle w:val="ListParagraph"/>
        <w:numPr>
          <w:ilvl w:val="0"/>
          <w:numId w:val="11"/>
        </w:numPr>
        <w:tabs>
          <w:tab w:val="left" w:pos="5670"/>
        </w:tabs>
        <w:spacing w:after="0"/>
        <w:contextualSpacing w:val="0"/>
        <w:rPr>
          <w:rFonts w:ascii="Times New Roman" w:hAnsi="Times New Roman" w:cs="Times New Roman"/>
          <w:noProof/>
          <w:sz w:val="24"/>
          <w:szCs w:val="24"/>
        </w:rPr>
      </w:pPr>
      <w:r w:rsidRPr="001C1FC2">
        <w:rPr>
          <w:rFonts w:ascii="Times New Roman" w:hAnsi="Times New Roman" w:cs="Times New Roman"/>
          <w:noProof/>
          <w:sz w:val="24"/>
          <w:szCs w:val="24"/>
        </w:rPr>
        <w:t xml:space="preserve">Exports of goods were revised up </w:t>
      </w:r>
      <w:r w:rsidR="001D5D3C">
        <w:rPr>
          <w:rFonts w:ascii="Times New Roman" w:hAnsi="Times New Roman" w:cs="Times New Roman"/>
          <w:noProof/>
          <w:sz w:val="24"/>
          <w:szCs w:val="24"/>
        </w:rPr>
        <w:t>less than $0.1 billion</w:t>
      </w:r>
      <w:r w:rsidRPr="001C1FC2">
        <w:rPr>
          <w:rFonts w:ascii="Times New Roman" w:hAnsi="Times New Roman" w:cs="Times New Roman"/>
          <w:noProof/>
          <w:sz w:val="24"/>
          <w:szCs w:val="24"/>
        </w:rPr>
        <w:t>.</w:t>
      </w:r>
    </w:p>
    <w:p w14:paraId="02A25873" w14:textId="488C9DE5" w:rsidR="00674036" w:rsidRPr="00674036" w:rsidRDefault="001C1FC2" w:rsidP="001172C9">
      <w:pPr>
        <w:pStyle w:val="ListParagraph"/>
        <w:numPr>
          <w:ilvl w:val="0"/>
          <w:numId w:val="10"/>
        </w:numPr>
        <w:spacing w:after="120"/>
        <w:contextualSpacing w:val="0"/>
        <w:rPr>
          <w:rFonts w:ascii="Times New Roman" w:hAnsi="Times New Roman" w:cs="Times New Roman"/>
          <w:noProof/>
          <w:sz w:val="24"/>
          <w:szCs w:val="24"/>
        </w:rPr>
      </w:pPr>
      <w:r w:rsidRPr="001C1FC2">
        <w:rPr>
          <w:rFonts w:ascii="Times New Roman" w:hAnsi="Times New Roman" w:cs="Times New Roman"/>
          <w:noProof/>
          <w:sz w:val="24"/>
          <w:szCs w:val="24"/>
        </w:rPr>
        <w:t xml:space="preserve">Exports of services were revised down </w:t>
      </w:r>
      <w:r w:rsidR="001D5D3C">
        <w:rPr>
          <w:rFonts w:ascii="Times New Roman" w:hAnsi="Times New Roman" w:cs="Times New Roman"/>
          <w:noProof/>
          <w:sz w:val="24"/>
          <w:szCs w:val="24"/>
        </w:rPr>
        <w:t>less than $0.1 billion</w:t>
      </w:r>
      <w:r w:rsidRPr="001C1FC2">
        <w:rPr>
          <w:rFonts w:ascii="Times New Roman" w:hAnsi="Times New Roman" w:cs="Times New Roman"/>
          <w:noProof/>
          <w:sz w:val="24"/>
          <w:szCs w:val="24"/>
        </w:rPr>
        <w:t>.</w:t>
      </w:r>
    </w:p>
    <w:p w14:paraId="2927EBAD" w14:textId="11B1910F" w:rsidR="00674036" w:rsidRPr="00674036" w:rsidRDefault="001C1FC2" w:rsidP="00D6567F">
      <w:pPr>
        <w:spacing w:after="0"/>
        <w:ind w:left="-360"/>
        <w:rPr>
          <w:rFonts w:ascii="Times New Roman" w:hAnsi="Times New Roman" w:cs="Times New Roman"/>
          <w:noProof/>
          <w:sz w:val="24"/>
          <w:szCs w:val="24"/>
        </w:rPr>
      </w:pPr>
      <w:r w:rsidRPr="001C1FC2">
        <w:rPr>
          <w:rFonts w:ascii="Times New Roman" w:hAnsi="Times New Roman" w:cs="Times New Roman"/>
          <w:noProof/>
          <w:sz w:val="24"/>
          <w:szCs w:val="24"/>
        </w:rPr>
        <w:t>Revisions to May imports</w:t>
      </w:r>
    </w:p>
    <w:p w14:paraId="7B8912A7" w14:textId="63421B54" w:rsidR="00674036" w:rsidRPr="00674036" w:rsidRDefault="001C1FC2" w:rsidP="001172C9">
      <w:pPr>
        <w:pStyle w:val="ListParagraph"/>
        <w:numPr>
          <w:ilvl w:val="0"/>
          <w:numId w:val="10"/>
        </w:numPr>
        <w:spacing w:after="0"/>
        <w:contextualSpacing w:val="0"/>
        <w:rPr>
          <w:rFonts w:ascii="Times New Roman" w:hAnsi="Times New Roman" w:cs="Times New Roman"/>
          <w:noProof/>
          <w:sz w:val="24"/>
          <w:szCs w:val="24"/>
        </w:rPr>
      </w:pPr>
      <w:r w:rsidRPr="001C1FC2">
        <w:rPr>
          <w:rFonts w:ascii="Times New Roman" w:hAnsi="Times New Roman" w:cs="Times New Roman"/>
          <w:noProof/>
          <w:sz w:val="24"/>
          <w:szCs w:val="24"/>
        </w:rPr>
        <w:t xml:space="preserve">Imports of goods were revised down </w:t>
      </w:r>
      <w:r w:rsidR="001D5D3C">
        <w:rPr>
          <w:rFonts w:ascii="Times New Roman" w:hAnsi="Times New Roman" w:cs="Times New Roman"/>
          <w:noProof/>
          <w:sz w:val="24"/>
          <w:szCs w:val="24"/>
        </w:rPr>
        <w:t>less than $0.1 billion</w:t>
      </w:r>
      <w:r w:rsidRPr="001C1FC2">
        <w:rPr>
          <w:rFonts w:ascii="Times New Roman" w:hAnsi="Times New Roman" w:cs="Times New Roman"/>
          <w:noProof/>
          <w:sz w:val="24"/>
          <w:szCs w:val="24"/>
        </w:rPr>
        <w:t>.</w:t>
      </w:r>
    </w:p>
    <w:p w14:paraId="19DE2784" w14:textId="3C57E7FD" w:rsidR="00490E68" w:rsidRPr="00674036" w:rsidRDefault="001C1FC2" w:rsidP="00674036">
      <w:pPr>
        <w:pStyle w:val="ListParagraph"/>
        <w:numPr>
          <w:ilvl w:val="0"/>
          <w:numId w:val="10"/>
        </w:numPr>
        <w:spacing w:after="120"/>
        <w:contextualSpacing w:val="0"/>
        <w:rPr>
          <w:rFonts w:ascii="Times New Roman" w:hAnsi="Times New Roman" w:cs="Times New Roman"/>
          <w:noProof/>
          <w:sz w:val="24"/>
          <w:szCs w:val="24"/>
        </w:rPr>
      </w:pPr>
      <w:r w:rsidRPr="001C1FC2">
        <w:rPr>
          <w:rFonts w:ascii="Times New Roman" w:hAnsi="Times New Roman" w:cs="Times New Roman"/>
          <w:noProof/>
          <w:sz w:val="24"/>
          <w:szCs w:val="24"/>
        </w:rPr>
        <w:t>Imports of services were revised up $0.2 billion.</w:t>
      </w:r>
    </w:p>
    <w:p w14:paraId="420247DF" w14:textId="2358CE6E" w:rsidR="00674036" w:rsidRDefault="00490E68" w:rsidP="003133E9">
      <w:pPr>
        <w:spacing w:after="120"/>
        <w:ind w:left="-360"/>
        <w:rPr>
          <w:rFonts w:ascii="Times New Roman" w:hAnsi="Times New Roman" w:cs="Times New Roman"/>
          <w:noProof/>
          <w:sz w:val="24"/>
          <w:szCs w:val="24"/>
        </w:rPr>
      </w:pPr>
      <w:r w:rsidRPr="00490E68">
        <w:rPr>
          <w:rFonts w:ascii="Times New Roman" w:hAnsi="Times New Roman" w:cs="Times New Roman"/>
          <w:b/>
          <w:noProof/>
          <w:sz w:val="24"/>
          <w:szCs w:val="24"/>
        </w:rPr>
        <w:t>Goods by Selected Cou</w:t>
      </w:r>
      <w:r>
        <w:rPr>
          <w:rFonts w:ascii="Times New Roman" w:hAnsi="Times New Roman" w:cs="Times New Roman"/>
          <w:b/>
          <w:noProof/>
          <w:sz w:val="24"/>
          <w:szCs w:val="24"/>
        </w:rPr>
        <w:t xml:space="preserve">ntries and Areas: </w:t>
      </w:r>
      <w:r w:rsidRPr="00490E68">
        <w:rPr>
          <w:rFonts w:ascii="Times New Roman" w:hAnsi="Times New Roman" w:cs="Times New Roman"/>
          <w:b/>
          <w:noProof/>
          <w:sz w:val="24"/>
          <w:szCs w:val="24"/>
        </w:rPr>
        <w:t>Monthly – Census Basis (Exhibit 19)</w:t>
      </w:r>
      <w:r>
        <w:rPr>
          <w:rFonts w:ascii="Times New Roman" w:hAnsi="Times New Roman" w:cs="Times New Roman"/>
          <w:b/>
          <w:noProof/>
          <w:sz w:val="24"/>
          <w:szCs w:val="24"/>
        </w:rPr>
        <w:br/>
      </w:r>
      <w:r w:rsidR="001C1FC2" w:rsidRPr="001C1FC2">
        <w:rPr>
          <w:rFonts w:ascii="Times New Roman" w:hAnsi="Times New Roman" w:cs="Times New Roman"/>
          <w:noProof/>
          <w:sz w:val="24"/>
          <w:szCs w:val="24"/>
        </w:rPr>
        <w:t>The June figures show surpluses, in billions of dollars, with South and Central America ($3.3), Hong Kong ($2.5), Brazil ($0.8), United Kingdom ($0.4), and Singapore (</w:t>
      </w:r>
      <w:r w:rsidR="001D5D3C">
        <w:rPr>
          <w:rFonts w:ascii="Times New Roman" w:hAnsi="Times New Roman" w:cs="Times New Roman"/>
          <w:noProof/>
          <w:sz w:val="24"/>
          <w:szCs w:val="24"/>
        </w:rPr>
        <w:t>less than $0.1</w:t>
      </w:r>
      <w:r w:rsidR="001C1FC2" w:rsidRPr="001C1FC2">
        <w:rPr>
          <w:rFonts w:ascii="Times New Roman" w:hAnsi="Times New Roman" w:cs="Times New Roman"/>
          <w:noProof/>
          <w:sz w:val="24"/>
          <w:szCs w:val="24"/>
        </w:rPr>
        <w:t>). Deficits were recorded, in billions of dollars, with China ($32.5), European Union ($12.8), Mexico ($6.7), Germany ($5.7), Japan ($5.6), Canada ($2.6), Italy ($2.2), OPEC ($1.8), India ($1.7), Taiwan ($1.4), South Korea ($1.3), Saudi Arabia ($0.8), and France ($0.7</w:t>
      </w:r>
      <w:r w:rsidR="001C1FC2">
        <w:t>).</w:t>
      </w:r>
    </w:p>
    <w:p w14:paraId="62CC78D1" w14:textId="3B7F1388" w:rsidR="00310EEA" w:rsidRPr="008767DB" w:rsidRDefault="00B96600" w:rsidP="00B96600">
      <w:pPr>
        <w:pStyle w:val="ListParagraph"/>
        <w:numPr>
          <w:ilvl w:val="0"/>
          <w:numId w:val="13"/>
        </w:numPr>
        <w:spacing w:after="240"/>
        <w:rPr>
          <w:rFonts w:ascii="Times New Roman" w:hAnsi="Times New Roman" w:cs="Times New Roman"/>
          <w:noProof/>
          <w:sz w:val="24"/>
          <w:szCs w:val="24"/>
        </w:rPr>
      </w:pPr>
      <w:r w:rsidRPr="008767DB">
        <w:rPr>
          <w:rFonts w:ascii="Times New Roman" w:hAnsi="Times New Roman" w:cs="Times New Roman"/>
          <w:noProof/>
          <w:sz w:val="24"/>
          <w:szCs w:val="24"/>
        </w:rPr>
        <w:t xml:space="preserve">The deficit with </w:t>
      </w:r>
      <w:r w:rsidR="00F36496">
        <w:rPr>
          <w:rFonts w:ascii="Times New Roman" w:hAnsi="Times New Roman" w:cs="Times New Roman"/>
          <w:noProof/>
          <w:sz w:val="24"/>
          <w:szCs w:val="24"/>
        </w:rPr>
        <w:t xml:space="preserve">members of </w:t>
      </w:r>
      <w:r w:rsidRPr="008767DB">
        <w:rPr>
          <w:rFonts w:ascii="Times New Roman" w:hAnsi="Times New Roman" w:cs="Times New Roman"/>
          <w:noProof/>
          <w:sz w:val="24"/>
          <w:szCs w:val="24"/>
        </w:rPr>
        <w:t>OPEC increased $1.6 billion to $1.8 billion in June. Exports decreased $0.8 billion to $5.0 billion and imports increased $0.7 billion to $6.7 billion.</w:t>
      </w:r>
    </w:p>
    <w:p w14:paraId="0AD1C9EB" w14:textId="5FD9F17C" w:rsidR="00310EEA" w:rsidRPr="008767DB" w:rsidRDefault="008767DB" w:rsidP="008767DB">
      <w:pPr>
        <w:pStyle w:val="ListParagraph"/>
        <w:numPr>
          <w:ilvl w:val="0"/>
          <w:numId w:val="13"/>
        </w:numPr>
        <w:spacing w:after="240"/>
        <w:rPr>
          <w:rFonts w:ascii="Times New Roman" w:hAnsi="Times New Roman" w:cs="Times New Roman"/>
          <w:noProof/>
          <w:sz w:val="24"/>
          <w:szCs w:val="24"/>
        </w:rPr>
      </w:pPr>
      <w:r w:rsidRPr="008767DB">
        <w:rPr>
          <w:rFonts w:ascii="Times New Roman" w:hAnsi="Times New Roman" w:cs="Times New Roman"/>
          <w:noProof/>
          <w:sz w:val="24"/>
          <w:szCs w:val="24"/>
        </w:rPr>
        <w:t xml:space="preserve">The deficit with </w:t>
      </w:r>
      <w:r w:rsidR="00F36496">
        <w:rPr>
          <w:rFonts w:ascii="Times New Roman" w:hAnsi="Times New Roman" w:cs="Times New Roman"/>
          <w:noProof/>
          <w:sz w:val="24"/>
          <w:szCs w:val="24"/>
        </w:rPr>
        <w:t xml:space="preserve">the </w:t>
      </w:r>
      <w:r w:rsidRPr="008767DB">
        <w:rPr>
          <w:rFonts w:ascii="Times New Roman" w:hAnsi="Times New Roman" w:cs="Times New Roman"/>
          <w:noProof/>
          <w:sz w:val="24"/>
          <w:szCs w:val="24"/>
        </w:rPr>
        <w:t>European Union increased $0.9 billion to $12.8 billion in June. Exports decreased $0.3 billion to $27.2 billion and imports increased $0.6 billion to $40.0 billion.</w:t>
      </w:r>
    </w:p>
    <w:p w14:paraId="78E7DC16" w14:textId="637B0281" w:rsidR="004B2967" w:rsidRPr="008767DB" w:rsidRDefault="00E8197D" w:rsidP="00E8197D">
      <w:pPr>
        <w:pStyle w:val="ListParagraph"/>
        <w:numPr>
          <w:ilvl w:val="0"/>
          <w:numId w:val="13"/>
        </w:numPr>
        <w:spacing w:after="240"/>
        <w:rPr>
          <w:rFonts w:ascii="Times New Roman" w:hAnsi="Times New Roman" w:cs="Times New Roman"/>
          <w:noProof/>
          <w:sz w:val="24"/>
          <w:szCs w:val="24"/>
        </w:rPr>
      </w:pPr>
      <w:r w:rsidRPr="00E8197D">
        <w:rPr>
          <w:rFonts w:ascii="Times New Roman" w:hAnsi="Times New Roman" w:cs="Times New Roman"/>
          <w:noProof/>
          <w:sz w:val="24"/>
          <w:szCs w:val="24"/>
        </w:rPr>
        <w:t>The deficit with Japan decreased $0.4 billion to $5.6 billion in June. Exports decreased $0.2 billion to $6.1 billion and imports decreased $0.7 billion to $11.7 billion.</w:t>
      </w:r>
    </w:p>
    <w:p w14:paraId="59271560" w14:textId="210C82D5" w:rsidR="00E47B8C" w:rsidRDefault="00E47B8C">
      <w:pPr>
        <w:rPr>
          <w:rFonts w:ascii="Times New Roman" w:hAnsi="Times New Roman" w:cs="Times New Roman"/>
          <w:noProof/>
          <w:sz w:val="24"/>
          <w:szCs w:val="24"/>
        </w:rPr>
      </w:pPr>
      <w:r>
        <w:rPr>
          <w:rFonts w:ascii="Times New Roman" w:hAnsi="Times New Roman" w:cs="Times New Roman"/>
          <w:noProof/>
          <w:sz w:val="24"/>
          <w:szCs w:val="24"/>
        </w:rPr>
        <w:br w:type="page"/>
      </w:r>
    </w:p>
    <w:p w14:paraId="7803D9C0" w14:textId="77777777" w:rsidR="008531F0" w:rsidRPr="000101A8" w:rsidRDefault="008531F0" w:rsidP="001838B5">
      <w:pPr>
        <w:spacing w:after="120"/>
        <w:ind w:left="-360"/>
        <w:rPr>
          <w:rFonts w:ascii="Times New Roman" w:hAnsi="Times New Roman" w:cs="Times New Roman"/>
          <w:noProof/>
          <w:sz w:val="24"/>
          <w:szCs w:val="24"/>
        </w:rPr>
      </w:pPr>
    </w:p>
    <w:p w14:paraId="16ECAFE4" w14:textId="2F121EB2" w:rsidR="00296E7C" w:rsidRDefault="009E5635" w:rsidP="004D177A">
      <w:pPr>
        <w:spacing w:after="240"/>
        <w:ind w:left="-360"/>
        <w:rPr>
          <w:rFonts w:ascii="Times New Roman" w:hAnsi="Times New Roman" w:cs="Times New Roman"/>
          <w:sz w:val="24"/>
          <w:szCs w:val="24"/>
        </w:rPr>
      </w:pPr>
      <w:r w:rsidRPr="009E5635">
        <w:rPr>
          <w:rFonts w:ascii="Times New Roman" w:hAnsi="Times New Roman" w:cs="Times New Roman"/>
          <w:sz w:val="24"/>
          <w:szCs w:val="24"/>
        </w:rPr>
        <w:t>All statistics referenced are seasonally adjusted; statistics are on a balance of payments basis unless otherwise specified.</w:t>
      </w:r>
      <w:r w:rsidRPr="009E5635">
        <w:t xml:space="preserve"> </w:t>
      </w:r>
      <w:r w:rsidRPr="009E5635">
        <w:rPr>
          <w:rFonts w:ascii="Times New Roman" w:hAnsi="Times New Roman" w:cs="Times New Roman"/>
          <w:sz w:val="24"/>
          <w:szCs w:val="24"/>
        </w:rPr>
        <w:t>Addit</w:t>
      </w:r>
      <w:r>
        <w:rPr>
          <w:rFonts w:ascii="Times New Roman" w:hAnsi="Times New Roman" w:cs="Times New Roman"/>
          <w:sz w:val="24"/>
          <w:szCs w:val="24"/>
        </w:rPr>
        <w:t xml:space="preserve">ional statistics, including not </w:t>
      </w:r>
      <w:r w:rsidRPr="009E5635">
        <w:rPr>
          <w:rFonts w:ascii="Times New Roman" w:hAnsi="Times New Roman" w:cs="Times New Roman"/>
          <w:sz w:val="24"/>
          <w:szCs w:val="24"/>
        </w:rPr>
        <w:t>seasonally adjusted statistics and details for goods on a Census basis, are available in Exhibits 1-20b of this release.</w:t>
      </w:r>
      <w:r w:rsidR="00926E73" w:rsidRPr="00926E73">
        <w:t xml:space="preserve"> </w:t>
      </w:r>
      <w:r w:rsidR="00926E73" w:rsidRPr="00926E73">
        <w:rPr>
          <w:rFonts w:ascii="Times New Roman" w:hAnsi="Times New Roman" w:cs="Times New Roman"/>
          <w:sz w:val="24"/>
          <w:szCs w:val="24"/>
        </w:rPr>
        <w:t>For informatio</w:t>
      </w:r>
      <w:r w:rsidR="00926E73">
        <w:rPr>
          <w:rFonts w:ascii="Times New Roman" w:hAnsi="Times New Roman" w:cs="Times New Roman"/>
          <w:sz w:val="24"/>
          <w:szCs w:val="24"/>
        </w:rPr>
        <w:t xml:space="preserve">n on data sources, </w:t>
      </w:r>
      <w:r w:rsidR="00926E73" w:rsidRPr="00D63E5A">
        <w:rPr>
          <w:rFonts w:ascii="Times New Roman" w:hAnsi="Times New Roman" w:cs="Times New Roman"/>
          <w:sz w:val="24"/>
          <w:szCs w:val="24"/>
        </w:rPr>
        <w:t xml:space="preserve">definitions, </w:t>
      </w:r>
      <w:r w:rsidR="00E06D68" w:rsidRPr="00D63E5A">
        <w:rPr>
          <w:rFonts w:ascii="Times New Roman" w:hAnsi="Times New Roman" w:cs="Times New Roman"/>
          <w:sz w:val="24"/>
          <w:szCs w:val="24"/>
        </w:rPr>
        <w:t xml:space="preserve">and </w:t>
      </w:r>
      <w:r w:rsidR="00926E73" w:rsidRPr="00D63E5A">
        <w:rPr>
          <w:rFonts w:ascii="Times New Roman" w:hAnsi="Times New Roman" w:cs="Times New Roman"/>
          <w:sz w:val="24"/>
          <w:szCs w:val="24"/>
        </w:rPr>
        <w:t>revision p</w:t>
      </w:r>
      <w:r w:rsidR="00D81ACE" w:rsidRPr="00D63E5A">
        <w:rPr>
          <w:rFonts w:ascii="Times New Roman" w:hAnsi="Times New Roman" w:cs="Times New Roman"/>
          <w:sz w:val="24"/>
          <w:szCs w:val="24"/>
        </w:rPr>
        <w:t>rocedures, see the explanatory n</w:t>
      </w:r>
      <w:r w:rsidR="00926E73" w:rsidRPr="00D63E5A">
        <w:rPr>
          <w:rFonts w:ascii="Times New Roman" w:hAnsi="Times New Roman" w:cs="Times New Roman"/>
          <w:sz w:val="24"/>
          <w:szCs w:val="24"/>
        </w:rPr>
        <w:t>otes</w:t>
      </w:r>
      <w:r w:rsidR="00D81ACE" w:rsidRPr="00D63E5A">
        <w:rPr>
          <w:rFonts w:ascii="Times New Roman" w:hAnsi="Times New Roman" w:cs="Times New Roman"/>
          <w:sz w:val="24"/>
          <w:szCs w:val="24"/>
        </w:rPr>
        <w:t xml:space="preserve"> in this release</w:t>
      </w:r>
      <w:r w:rsidR="00926E73" w:rsidRPr="00D63E5A">
        <w:rPr>
          <w:rFonts w:ascii="Times New Roman" w:hAnsi="Times New Roman" w:cs="Times New Roman"/>
          <w:sz w:val="24"/>
          <w:szCs w:val="24"/>
        </w:rPr>
        <w:t>.</w:t>
      </w:r>
      <w:r w:rsidR="00D81ACE" w:rsidRPr="00D63E5A">
        <w:rPr>
          <w:rFonts w:ascii="Times New Roman" w:hAnsi="Times New Roman" w:cs="Times New Roman"/>
          <w:sz w:val="24"/>
          <w:szCs w:val="24"/>
        </w:rPr>
        <w:t xml:space="preserve"> The full </w:t>
      </w:r>
      <w:r w:rsidR="00EE1F45" w:rsidRPr="00D63E5A">
        <w:rPr>
          <w:rFonts w:ascii="Times New Roman" w:hAnsi="Times New Roman" w:cs="Times New Roman"/>
          <w:sz w:val="24"/>
          <w:szCs w:val="24"/>
        </w:rPr>
        <w:t xml:space="preserve">release </w:t>
      </w:r>
      <w:r w:rsidR="00D81ACE" w:rsidRPr="00D63E5A">
        <w:rPr>
          <w:rFonts w:ascii="Times New Roman" w:hAnsi="Times New Roman" w:cs="Times New Roman"/>
          <w:sz w:val="24"/>
          <w:szCs w:val="24"/>
        </w:rPr>
        <w:t>can be found at</w:t>
      </w:r>
      <w:r w:rsidR="00D81ACE" w:rsidRPr="00D63E5A">
        <w:rPr>
          <w:rFonts w:ascii="Calibri" w:hAnsi="Calibri"/>
          <w:color w:val="000000"/>
          <w:sz w:val="24"/>
          <w:szCs w:val="24"/>
        </w:rPr>
        <w:t xml:space="preserve"> </w:t>
      </w:r>
      <w:hyperlink r:id="rId21" w:history="1">
        <w:r w:rsidR="006F7BDC" w:rsidRPr="00D63E5A">
          <w:rPr>
            <w:rStyle w:val="Hyperlink"/>
            <w:rFonts w:ascii="Times New Roman" w:hAnsi="Times New Roman" w:cs="Times New Roman"/>
            <w:sz w:val="24"/>
            <w:szCs w:val="24"/>
          </w:rPr>
          <w:t>www.census.gov/foreign-trade/Press-Release/current_press_release/index.html</w:t>
        </w:r>
      </w:hyperlink>
      <w:r w:rsidR="00D81ACE" w:rsidRPr="00D63E5A">
        <w:rPr>
          <w:rFonts w:ascii="Times New Roman" w:hAnsi="Times New Roman" w:cs="Times New Roman"/>
          <w:sz w:val="24"/>
          <w:szCs w:val="24"/>
        </w:rPr>
        <w:t xml:space="preserve"> or </w:t>
      </w:r>
      <w:hyperlink r:id="rId22" w:history="1">
        <w:r w:rsidR="006F7BDC" w:rsidRPr="00D63E5A">
          <w:rPr>
            <w:rStyle w:val="Hyperlink"/>
            <w:rFonts w:ascii="Times New Roman" w:hAnsi="Times New Roman" w:cs="Times New Roman"/>
            <w:sz w:val="24"/>
            <w:szCs w:val="24"/>
          </w:rPr>
          <w:t>www.bea.gov/newsreleases/international/trade/tradnewsrelease.htm</w:t>
        </w:r>
      </w:hyperlink>
      <w:r w:rsidR="00D81ACE" w:rsidRPr="00D63E5A">
        <w:rPr>
          <w:rFonts w:ascii="Times New Roman" w:hAnsi="Times New Roman" w:cs="Times New Roman"/>
          <w:sz w:val="24"/>
          <w:szCs w:val="24"/>
        </w:rPr>
        <w:t>.</w:t>
      </w:r>
      <w:r w:rsidRPr="00D63E5A">
        <w:rPr>
          <w:rFonts w:ascii="Times New Roman" w:hAnsi="Times New Roman" w:cs="Times New Roman"/>
          <w:sz w:val="24"/>
          <w:szCs w:val="24"/>
        </w:rPr>
        <w:t xml:space="preserve"> </w:t>
      </w:r>
      <w:r w:rsidR="001C1FC2" w:rsidRPr="001C1FC2">
        <w:rPr>
          <w:rFonts w:ascii="Times New Roman" w:hAnsi="Times New Roman" w:cs="Times New Roman"/>
          <w:sz w:val="24"/>
          <w:szCs w:val="24"/>
        </w:rPr>
        <w:t>The July 2018 U.S. International Trade in Goods and Services report is scheduled for release on September 5, 2018.</w:t>
      </w:r>
      <w:r w:rsidR="00D81ACE" w:rsidRPr="00D63E5A">
        <w:rPr>
          <w:rFonts w:ascii="Times New Roman" w:hAnsi="Times New Roman" w:cs="Times New Roman"/>
          <w:sz w:val="24"/>
          <w:szCs w:val="24"/>
        </w:rPr>
        <w:t>T</w:t>
      </w:r>
      <w:r w:rsidR="00EC5947" w:rsidRPr="00D63E5A">
        <w:rPr>
          <w:rFonts w:ascii="Times New Roman" w:hAnsi="Times New Roman" w:cs="Times New Roman"/>
          <w:sz w:val="24"/>
          <w:szCs w:val="24"/>
        </w:rPr>
        <w:t xml:space="preserve">he full schedule </w:t>
      </w:r>
      <w:r w:rsidR="00D81ACE" w:rsidRPr="00D63E5A">
        <w:rPr>
          <w:rFonts w:ascii="Times New Roman" w:hAnsi="Times New Roman" w:cs="Times New Roman"/>
          <w:sz w:val="24"/>
          <w:szCs w:val="24"/>
        </w:rPr>
        <w:t xml:space="preserve">is available </w:t>
      </w:r>
      <w:r w:rsidR="00EC5947" w:rsidRPr="00D63E5A">
        <w:rPr>
          <w:rFonts w:ascii="Times New Roman" w:hAnsi="Times New Roman" w:cs="Times New Roman"/>
          <w:sz w:val="24"/>
          <w:szCs w:val="24"/>
        </w:rPr>
        <w:t xml:space="preserve">in the </w:t>
      </w:r>
      <w:r w:rsidR="00466547" w:rsidRPr="00D63E5A">
        <w:rPr>
          <w:rFonts w:ascii="Times New Roman" w:hAnsi="Times New Roman" w:cs="Times New Roman"/>
          <w:sz w:val="24"/>
          <w:szCs w:val="24"/>
        </w:rPr>
        <w:t xml:space="preserve">Census Bureau’s </w:t>
      </w:r>
      <w:r w:rsidR="00EC5947" w:rsidRPr="00D63E5A">
        <w:rPr>
          <w:rFonts w:ascii="Times New Roman" w:hAnsi="Times New Roman" w:cs="Times New Roman"/>
          <w:sz w:val="24"/>
          <w:szCs w:val="24"/>
        </w:rPr>
        <w:t>Economic Briefing Room</w:t>
      </w:r>
      <w:r w:rsidR="00466547" w:rsidRPr="00D63E5A">
        <w:rPr>
          <w:rFonts w:ascii="Times New Roman" w:hAnsi="Times New Roman" w:cs="Times New Roman"/>
          <w:sz w:val="24"/>
          <w:szCs w:val="24"/>
        </w:rPr>
        <w:t xml:space="preserve"> at </w:t>
      </w:r>
      <w:hyperlink r:id="rId23" w:history="1">
        <w:r w:rsidR="00D63E5A" w:rsidRPr="00D63E5A">
          <w:rPr>
            <w:rStyle w:val="Hyperlink"/>
            <w:rFonts w:ascii="Times New Roman" w:hAnsi="Times New Roman" w:cs="Times New Roman"/>
            <w:sz w:val="24"/>
            <w:szCs w:val="24"/>
          </w:rPr>
          <w:t>www.census.gov/economic-indicators/</w:t>
        </w:r>
      </w:hyperlink>
      <w:r w:rsidR="005E58EE" w:rsidRPr="00D63E5A">
        <w:rPr>
          <w:rFonts w:ascii="Times New Roman" w:hAnsi="Times New Roman" w:cs="Times New Roman"/>
          <w:sz w:val="24"/>
          <w:szCs w:val="24"/>
        </w:rPr>
        <w:t xml:space="preserve"> or on BEA’s Web site at </w:t>
      </w:r>
      <w:hyperlink r:id="rId24" w:history="1">
        <w:r w:rsidR="005E58EE" w:rsidRPr="00D63E5A">
          <w:rPr>
            <w:rStyle w:val="Hyperlink"/>
            <w:rFonts w:ascii="Times New Roman" w:hAnsi="Times New Roman" w:cs="Times New Roman"/>
            <w:sz w:val="24"/>
            <w:szCs w:val="24"/>
          </w:rPr>
          <w:t>www.bea.gov/newsreleases/news_release_schedule.htm</w:t>
        </w:r>
      </w:hyperlink>
      <w:r w:rsidR="005E58EE" w:rsidRPr="00D63E5A">
        <w:rPr>
          <w:rFonts w:ascii="Times New Roman" w:hAnsi="Times New Roman" w:cs="Times New Roman"/>
          <w:sz w:val="24"/>
          <w:szCs w:val="24"/>
        </w:rPr>
        <w:t>.</w:t>
      </w:r>
    </w:p>
    <w:p w14:paraId="1B3E5417" w14:textId="77777777" w:rsidR="00DB45D8" w:rsidRDefault="00DB45D8" w:rsidP="00395B72">
      <w:pPr>
        <w:spacing w:after="120"/>
        <w:jc w:val="center"/>
        <w:rPr>
          <w:rFonts w:ascii="Times New Roman" w:hAnsi="Times New Roman" w:cs="Times New Roman"/>
          <w:b/>
          <w:bCs/>
          <w:sz w:val="24"/>
          <w:szCs w:val="24"/>
        </w:rPr>
      </w:pPr>
    </w:p>
    <w:p w14:paraId="46DA940B" w14:textId="58A8F3FC" w:rsidR="00D26BAC" w:rsidRPr="00DF0FAC" w:rsidRDefault="00DF0FAC" w:rsidP="00DF0FAC">
      <w:pPr>
        <w:spacing w:after="120"/>
        <w:ind w:left="-360"/>
        <w:rPr>
          <w:rFonts w:ascii="Arial" w:hAnsi="Arial" w:cs="Arial"/>
          <w:b/>
          <w:bCs/>
          <w:sz w:val="24"/>
          <w:szCs w:val="24"/>
        </w:rPr>
      </w:pPr>
      <w:r w:rsidRPr="00DF0FAC">
        <w:rPr>
          <w:rFonts w:ascii="Arial" w:hAnsi="Arial" w:cs="Arial"/>
          <w:b/>
          <w:bCs/>
          <w:sz w:val="24"/>
          <w:szCs w:val="24"/>
        </w:rPr>
        <w:t>NOTICE</w:t>
      </w:r>
    </w:p>
    <w:p w14:paraId="711FECB5" w14:textId="77777777" w:rsidR="00D26BAC" w:rsidRPr="00DF0FAC" w:rsidRDefault="00D26BAC" w:rsidP="00DF0FAC">
      <w:pPr>
        <w:spacing w:after="120"/>
        <w:ind w:left="-360"/>
        <w:rPr>
          <w:rFonts w:ascii="Arial" w:hAnsi="Arial" w:cs="Arial"/>
          <w:b/>
          <w:bCs/>
          <w:sz w:val="24"/>
          <w:szCs w:val="24"/>
        </w:rPr>
      </w:pPr>
      <w:r w:rsidRPr="00DF0FAC">
        <w:rPr>
          <w:rFonts w:ascii="Arial" w:hAnsi="Arial" w:cs="Arial"/>
          <w:b/>
          <w:bCs/>
          <w:sz w:val="24"/>
          <w:szCs w:val="24"/>
        </w:rPr>
        <w:t>Change to OPEC</w:t>
      </w:r>
    </w:p>
    <w:p w14:paraId="4DB74E23" w14:textId="56ED854E" w:rsidR="00D26BAC" w:rsidRPr="00D26BAC" w:rsidRDefault="00D26BAC" w:rsidP="00DF0FAC">
      <w:pPr>
        <w:spacing w:after="120"/>
        <w:ind w:left="-360"/>
        <w:rPr>
          <w:rFonts w:ascii="Times New Roman" w:hAnsi="Times New Roman" w:cs="Times New Roman"/>
          <w:b/>
          <w:bCs/>
          <w:sz w:val="24"/>
          <w:szCs w:val="24"/>
        </w:rPr>
      </w:pPr>
      <w:r w:rsidRPr="00D26BAC">
        <w:rPr>
          <w:rFonts w:ascii="Times New Roman" w:hAnsi="Times New Roman" w:cs="Times New Roman"/>
          <w:bCs/>
          <w:sz w:val="24"/>
          <w:szCs w:val="24"/>
        </w:rPr>
        <w:t>With the release of the “U.S. International Trade in Goods and Services: July 2018” report (FT-900) on September 5, 2018, statistics for OPEC will include Congo (Brazzaville), which joined OPEC on June 22, 2018. OPEC statistics for July in exhibits 14, 17a, and 19 of the FT-900 and exhibit 4 of the FT-900 Supplement will include Congo (Brazzaville). This change will also affect exhibits 20, 20a, and 20b of the FT-900 with the December 6, 2018 release.</w:t>
      </w:r>
    </w:p>
    <w:p w14:paraId="0C3D6381" w14:textId="77777777" w:rsidR="00D26BAC" w:rsidRPr="00D26BAC" w:rsidRDefault="00D26BAC" w:rsidP="00DF0FAC">
      <w:pPr>
        <w:spacing w:after="120"/>
        <w:ind w:left="-360"/>
        <w:rPr>
          <w:rFonts w:ascii="Times New Roman" w:hAnsi="Times New Roman" w:cs="Times New Roman"/>
          <w:bCs/>
          <w:sz w:val="24"/>
          <w:szCs w:val="24"/>
        </w:rPr>
      </w:pPr>
      <w:r w:rsidRPr="00D26BAC">
        <w:rPr>
          <w:rFonts w:ascii="Times New Roman" w:hAnsi="Times New Roman" w:cs="Times New Roman"/>
          <w:bCs/>
          <w:sz w:val="24"/>
          <w:szCs w:val="24"/>
        </w:rPr>
        <w:t> </w:t>
      </w:r>
    </w:p>
    <w:p w14:paraId="2A1F124C" w14:textId="77777777" w:rsidR="00D26BAC" w:rsidRPr="00DF0FAC" w:rsidRDefault="00D26BAC" w:rsidP="00DF0FAC">
      <w:pPr>
        <w:spacing w:after="120"/>
        <w:ind w:left="-360"/>
        <w:rPr>
          <w:rFonts w:ascii="Arial" w:hAnsi="Arial" w:cs="Arial"/>
          <w:b/>
          <w:bCs/>
          <w:sz w:val="24"/>
          <w:szCs w:val="24"/>
        </w:rPr>
      </w:pPr>
      <w:r w:rsidRPr="00DF0FAC">
        <w:rPr>
          <w:rFonts w:ascii="Arial" w:hAnsi="Arial" w:cs="Arial"/>
          <w:b/>
          <w:bCs/>
          <w:sz w:val="24"/>
          <w:szCs w:val="24"/>
        </w:rPr>
        <w:t>Country Name Change</w:t>
      </w:r>
    </w:p>
    <w:p w14:paraId="7B2DE984" w14:textId="2D11A0E6" w:rsidR="00D26BAC" w:rsidRPr="00D26BAC" w:rsidRDefault="00D26BAC" w:rsidP="00DF0FAC">
      <w:pPr>
        <w:spacing w:after="120"/>
        <w:ind w:left="-360"/>
        <w:rPr>
          <w:rFonts w:ascii="Times New Roman" w:hAnsi="Times New Roman" w:cs="Times New Roman"/>
          <w:bCs/>
          <w:sz w:val="24"/>
          <w:szCs w:val="24"/>
        </w:rPr>
      </w:pPr>
      <w:r w:rsidRPr="00D26BAC">
        <w:rPr>
          <w:rFonts w:ascii="Times New Roman" w:hAnsi="Times New Roman" w:cs="Times New Roman"/>
          <w:bCs/>
          <w:sz w:val="24"/>
          <w:szCs w:val="24"/>
        </w:rPr>
        <w:t xml:space="preserve">With the release of the FT-900 on October 5, 2018, references to Swaziland will be replaced with </w:t>
      </w:r>
      <w:proofErr w:type="spellStart"/>
      <w:r w:rsidRPr="00D26BAC">
        <w:rPr>
          <w:rFonts w:ascii="Times New Roman" w:hAnsi="Times New Roman" w:cs="Times New Roman"/>
          <w:bCs/>
          <w:sz w:val="24"/>
          <w:szCs w:val="24"/>
        </w:rPr>
        <w:t>Eswatini</w:t>
      </w:r>
      <w:proofErr w:type="spellEnd"/>
      <w:r w:rsidRPr="00D26BAC">
        <w:rPr>
          <w:rFonts w:ascii="Times New Roman" w:hAnsi="Times New Roman" w:cs="Times New Roman"/>
          <w:bCs/>
          <w:sz w:val="24"/>
          <w:szCs w:val="24"/>
        </w:rPr>
        <w:t xml:space="preserve"> to reflect the country’s recent name change. This change will also align with the name recognized by the U.S. Department of State and the International Organization for Standardization.</w:t>
      </w:r>
    </w:p>
    <w:p w14:paraId="2B64739A" w14:textId="77777777" w:rsidR="00D26BAC" w:rsidRPr="00D26BAC" w:rsidRDefault="00D26BAC" w:rsidP="00DF0FAC">
      <w:pPr>
        <w:spacing w:after="120"/>
        <w:ind w:left="-360"/>
        <w:rPr>
          <w:rFonts w:ascii="Times New Roman" w:hAnsi="Times New Roman" w:cs="Times New Roman"/>
          <w:bCs/>
          <w:sz w:val="24"/>
          <w:szCs w:val="24"/>
        </w:rPr>
      </w:pPr>
      <w:r w:rsidRPr="00D26BAC">
        <w:rPr>
          <w:rFonts w:ascii="Times New Roman" w:hAnsi="Times New Roman" w:cs="Times New Roman"/>
          <w:bCs/>
          <w:sz w:val="24"/>
          <w:szCs w:val="24"/>
        </w:rPr>
        <w:t> </w:t>
      </w:r>
    </w:p>
    <w:p w14:paraId="47B39E28" w14:textId="77777777" w:rsidR="00D26BAC" w:rsidRPr="00D26BAC" w:rsidRDefault="00D26BAC" w:rsidP="00DF0FAC">
      <w:pPr>
        <w:spacing w:after="120"/>
        <w:ind w:left="-360"/>
        <w:rPr>
          <w:rFonts w:ascii="Times New Roman" w:hAnsi="Times New Roman" w:cs="Times New Roman"/>
          <w:bCs/>
          <w:sz w:val="24"/>
          <w:szCs w:val="24"/>
        </w:rPr>
      </w:pPr>
      <w:r w:rsidRPr="00D26BAC">
        <w:rPr>
          <w:rFonts w:ascii="Times New Roman" w:hAnsi="Times New Roman" w:cs="Times New Roman"/>
          <w:bCs/>
          <w:sz w:val="24"/>
          <w:szCs w:val="24"/>
        </w:rPr>
        <w:t xml:space="preserve">If you have questions or need additional information, please contact the Census Bureau, Economic Indicators Division, on (800) 549-0595, option 4, or at </w:t>
      </w:r>
      <w:hyperlink r:id="rId25" w:tgtFrame="_blank" w:history="1">
        <w:r w:rsidRPr="00D26BAC">
          <w:rPr>
            <w:rStyle w:val="Hyperlink"/>
            <w:rFonts w:ascii="Times New Roman" w:hAnsi="Times New Roman" w:cs="Times New Roman"/>
            <w:bCs/>
            <w:sz w:val="24"/>
            <w:szCs w:val="24"/>
          </w:rPr>
          <w:t>eid.international.trade.data@census.gov</w:t>
        </w:r>
      </w:hyperlink>
      <w:r w:rsidRPr="00D26BAC">
        <w:rPr>
          <w:rFonts w:ascii="Times New Roman" w:hAnsi="Times New Roman" w:cs="Times New Roman"/>
          <w:bCs/>
          <w:sz w:val="24"/>
          <w:szCs w:val="24"/>
        </w:rPr>
        <w:t>.</w:t>
      </w:r>
    </w:p>
    <w:p w14:paraId="6E16AD06" w14:textId="77777777" w:rsidR="00DB45D8" w:rsidRDefault="00DB45D8" w:rsidP="00395B72">
      <w:pPr>
        <w:spacing w:after="120"/>
        <w:jc w:val="center"/>
        <w:rPr>
          <w:rFonts w:ascii="Times New Roman" w:hAnsi="Times New Roman" w:cs="Times New Roman"/>
          <w:b/>
          <w:bCs/>
          <w:sz w:val="24"/>
          <w:szCs w:val="24"/>
        </w:rPr>
      </w:pPr>
    </w:p>
    <w:p w14:paraId="3F8267F8" w14:textId="7933ED1C" w:rsidR="00DB45D8" w:rsidRDefault="00DB45D8" w:rsidP="00395B72">
      <w:pPr>
        <w:spacing w:after="120"/>
        <w:jc w:val="center"/>
        <w:rPr>
          <w:rFonts w:ascii="Times New Roman" w:hAnsi="Times New Roman" w:cs="Times New Roman"/>
          <w:b/>
          <w:bCs/>
          <w:sz w:val="24"/>
          <w:szCs w:val="24"/>
        </w:rPr>
      </w:pPr>
    </w:p>
    <w:p w14:paraId="0F639A08" w14:textId="2ED0B6B6" w:rsidR="00395B72" w:rsidRDefault="00395B72" w:rsidP="00EE1F45">
      <w:pPr>
        <w:rPr>
          <w:rFonts w:ascii="Times New Roman" w:hAnsi="Times New Roman" w:cs="Times New Roman"/>
          <w:sz w:val="24"/>
          <w:szCs w:val="24"/>
        </w:rPr>
      </w:pPr>
    </w:p>
    <w:p w14:paraId="4D30FDE0" w14:textId="77777777" w:rsidR="001705DB" w:rsidRPr="000D454B" w:rsidRDefault="001705DB" w:rsidP="001705DB">
      <w:pPr>
        <w:spacing w:after="120"/>
        <w:ind w:left="-360"/>
        <w:rPr>
          <w:rFonts w:ascii="Arial" w:hAnsi="Arial" w:cs="Arial"/>
          <w:b/>
          <w:sz w:val="24"/>
        </w:rPr>
      </w:pPr>
      <w:r w:rsidRPr="00C15E38">
        <w:rPr>
          <w:rFonts w:ascii="Arial" w:hAnsi="Arial" w:cs="Arial"/>
          <w:b/>
          <w:sz w:val="24"/>
        </w:rPr>
        <w:t>EXPLANATORY NOTES</w:t>
      </w:r>
    </w:p>
    <w:p w14:paraId="6B88485F" w14:textId="77777777" w:rsidR="001705DB" w:rsidRPr="008F1C33" w:rsidRDefault="001705DB" w:rsidP="001705DB">
      <w:pPr>
        <w:spacing w:after="0"/>
        <w:ind w:left="-360"/>
        <w:rPr>
          <w:rFonts w:ascii="Arial" w:hAnsi="Arial" w:cs="Arial"/>
          <w:b/>
          <w:bCs/>
          <w:iCs/>
          <w:sz w:val="24"/>
          <w:szCs w:val="24"/>
        </w:rPr>
      </w:pPr>
      <w:r w:rsidRPr="008F1C33">
        <w:rPr>
          <w:rFonts w:ascii="Arial" w:hAnsi="Arial" w:cs="Arial"/>
          <w:b/>
          <w:bCs/>
          <w:iCs/>
          <w:sz w:val="24"/>
          <w:szCs w:val="24"/>
        </w:rPr>
        <w:t>Goods (Census Basis)</w:t>
      </w:r>
    </w:p>
    <w:p w14:paraId="664D6815"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 xml:space="preserve">Data for goods on a Census basis are compiled from the documents collected by U.S. Customs and Border Protection </w:t>
      </w:r>
      <w:r>
        <w:rPr>
          <w:rFonts w:ascii="Times New Roman" w:hAnsi="Times New Roman" w:cs="Times New Roman"/>
          <w:sz w:val="24"/>
          <w:szCs w:val="24"/>
        </w:rPr>
        <w:t xml:space="preserve">(CBP) </w:t>
      </w:r>
      <w:r w:rsidRPr="00C17602">
        <w:rPr>
          <w:rFonts w:ascii="Times New Roman" w:hAnsi="Times New Roman" w:cs="Times New Roman"/>
          <w:sz w:val="24"/>
          <w:szCs w:val="24"/>
        </w:rPr>
        <w:t>and reflect the movement of goods between foreign countries and the 50 states, the District of Columbia, Puerto Rico, the U.S. Virgin Islands, and U.S. Foreign Trade Zones. They include government and non-government shipments of goods and exclude shipments between the United States and its territories and possessions; transactions with U.S. military, diplomatic, and consular installations abroad; U.S. goods returned to the United States by its Armed Forces; personal and household effects of travelers; and in-transit shipments. The General Imports value reflects the total arrival of merchandise from foreign countries that immediately enters consumption channels, warehouses, or Foreign Trade Zones.</w:t>
      </w:r>
    </w:p>
    <w:p w14:paraId="429EEC55"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 xml:space="preserve">For imports, the value reported is the </w:t>
      </w:r>
      <w:r>
        <w:rPr>
          <w:rFonts w:ascii="Times New Roman" w:hAnsi="Times New Roman" w:cs="Times New Roman"/>
          <w:sz w:val="24"/>
          <w:szCs w:val="24"/>
        </w:rPr>
        <w:t>CBP-</w:t>
      </w:r>
      <w:r w:rsidRPr="00C17602">
        <w:rPr>
          <w:rFonts w:ascii="Times New Roman" w:hAnsi="Times New Roman" w:cs="Times New Roman"/>
          <w:sz w:val="24"/>
          <w:szCs w:val="24"/>
        </w:rPr>
        <w:t>appraised value of merchandise—generally, the price paid for merchandise for export to the United States. Import duties, freight, insurance, and other charges incurred in bringing merchandise to the United States are excluded. The exception is Exhibit 17a, which shows CIF import value. The CIF (cost, insurance, and freight) value represents the landed value of the merchandise at the first port of arrival in the United States. It is computed by adding import charges to the customs value and therefore excludes U.S. import duties.</w:t>
      </w:r>
    </w:p>
    <w:p w14:paraId="65DD58A3"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Exports are valued at the f.a.s. (free alongside ship) value of merchandise at the U.S. port of export, based on the transaction price including inland freight, insurance, and other charges incurred in placing the merchandise alongside the carrier at the U.S. port of exportation.</w:t>
      </w:r>
    </w:p>
    <w:p w14:paraId="779E444C" w14:textId="77777777" w:rsidR="001705DB" w:rsidRPr="008F1C33" w:rsidRDefault="001705DB" w:rsidP="001705DB">
      <w:pPr>
        <w:spacing w:after="0"/>
        <w:ind w:left="-360"/>
        <w:rPr>
          <w:rFonts w:ascii="Arial" w:hAnsi="Arial" w:cs="Arial"/>
          <w:b/>
          <w:i/>
          <w:sz w:val="24"/>
          <w:szCs w:val="24"/>
        </w:rPr>
      </w:pPr>
      <w:r w:rsidRPr="008F1C33">
        <w:rPr>
          <w:rFonts w:ascii="Arial" w:hAnsi="Arial" w:cs="Arial"/>
          <w:b/>
          <w:i/>
          <w:sz w:val="24"/>
          <w:szCs w:val="24"/>
        </w:rPr>
        <w:t>Revision Procedure (Census Basis)</w:t>
      </w:r>
    </w:p>
    <w:p w14:paraId="51EC14F4" w14:textId="1F35299F" w:rsidR="00AB239C" w:rsidRDefault="001705DB" w:rsidP="001705DB">
      <w:pPr>
        <w:spacing w:after="120"/>
        <w:ind w:left="-360"/>
        <w:rPr>
          <w:rFonts w:ascii="Times New Roman" w:hAnsi="Times New Roman" w:cs="Times New Roman"/>
          <w:bCs/>
          <w:iCs/>
          <w:sz w:val="24"/>
          <w:szCs w:val="24"/>
        </w:rPr>
      </w:pPr>
      <w:r>
        <w:rPr>
          <w:rFonts w:ascii="Times New Roman" w:hAnsi="Times New Roman" w:cs="Times New Roman"/>
          <w:b/>
          <w:bCs/>
          <w:iCs/>
          <w:sz w:val="24"/>
          <w:szCs w:val="24"/>
        </w:rPr>
        <w:t>Monthly Revisions</w:t>
      </w:r>
      <w:r w:rsidRPr="001172C9">
        <w:rPr>
          <w:rFonts w:ascii="Times New Roman" w:hAnsi="Times New Roman" w:cs="Times New Roman"/>
          <w:bCs/>
          <w:iCs/>
          <w:sz w:val="24"/>
          <w:szCs w:val="24"/>
        </w:rPr>
        <w:t>:</w:t>
      </w:r>
      <w:r>
        <w:rPr>
          <w:rFonts w:ascii="Times New Roman" w:hAnsi="Times New Roman" w:cs="Times New Roman"/>
          <w:b/>
          <w:bCs/>
          <w:iCs/>
          <w:sz w:val="24"/>
          <w:szCs w:val="24"/>
        </w:rPr>
        <w:t xml:space="preserve"> </w:t>
      </w:r>
      <w:r w:rsidRPr="00C17602">
        <w:rPr>
          <w:rFonts w:ascii="Times New Roman" w:hAnsi="Times New Roman" w:cs="Times New Roman"/>
          <w:bCs/>
          <w:iCs/>
          <w:sz w:val="24"/>
          <w:szCs w:val="24"/>
        </w:rPr>
        <w:t>Monthly data include actual month's transactions as well as a small number of transactions for previous months. Each month, the U.S. Census Bureau revises the aggregate seasonally adjusted (current and real</w:t>
      </w:r>
      <w:r w:rsidR="005E58EE">
        <w:rPr>
          <w:rFonts w:ascii="Times New Roman" w:hAnsi="Times New Roman" w:cs="Times New Roman"/>
          <w:bCs/>
          <w:iCs/>
          <w:sz w:val="24"/>
          <w:szCs w:val="24"/>
        </w:rPr>
        <w:t>, or</w:t>
      </w:r>
      <w:r w:rsidRPr="00C17602">
        <w:rPr>
          <w:rFonts w:ascii="Times New Roman" w:hAnsi="Times New Roman" w:cs="Times New Roman"/>
          <w:bCs/>
          <w:iCs/>
          <w:sz w:val="24"/>
          <w:szCs w:val="24"/>
        </w:rPr>
        <w:t xml:space="preserve"> chained-dollar) and unadjusted export, import, and trade balance figures, as well as the end-use totals for the prior month. Country detail data and commodity detail data, based on the Standard International Trade Classification (SITC) Revision 4 and the North American Industry Classification System (NAICS), are not revised monthly. The timing adjustment shown in Exhibit 14 is the difference between monthly data as originally reported and as recompiled.</w:t>
      </w:r>
    </w:p>
    <w:p w14:paraId="1F085795" w14:textId="2AAD5371" w:rsidR="00AB239C" w:rsidRDefault="008767DB" w:rsidP="001705DB">
      <w:pPr>
        <w:spacing w:after="120"/>
        <w:ind w:left="-360"/>
        <w:rPr>
          <w:rFonts w:ascii="Times New Roman" w:hAnsi="Times New Roman" w:cs="Times New Roman"/>
          <w:bCs/>
          <w:iCs/>
          <w:sz w:val="24"/>
          <w:szCs w:val="24"/>
        </w:rPr>
      </w:pPr>
      <w:r w:rsidRPr="008767DB">
        <w:rPr>
          <w:rFonts w:ascii="Times New Roman" w:hAnsi="Times New Roman" w:cs="Times New Roman"/>
          <w:bCs/>
          <w:iCs/>
          <w:sz w:val="24"/>
          <w:szCs w:val="24"/>
        </w:rPr>
        <w:t xml:space="preserve">For May, unadjusted exports of goods were revised up $0.1 billion and unadjusted imports of goods were revised down </w:t>
      </w:r>
      <w:r>
        <w:rPr>
          <w:rFonts w:ascii="Times New Roman" w:hAnsi="Times New Roman" w:cs="Times New Roman"/>
          <w:bCs/>
          <w:iCs/>
          <w:sz w:val="24"/>
          <w:szCs w:val="24"/>
        </w:rPr>
        <w:t xml:space="preserve">less than </w:t>
      </w:r>
      <w:r w:rsidRPr="008767DB">
        <w:rPr>
          <w:rFonts w:ascii="Times New Roman" w:hAnsi="Times New Roman" w:cs="Times New Roman"/>
          <w:bCs/>
          <w:iCs/>
          <w:sz w:val="24"/>
          <w:szCs w:val="24"/>
        </w:rPr>
        <w:t>$0</w:t>
      </w:r>
      <w:r>
        <w:rPr>
          <w:rFonts w:ascii="Times New Roman" w:hAnsi="Times New Roman" w:cs="Times New Roman"/>
          <w:bCs/>
          <w:iCs/>
          <w:sz w:val="24"/>
          <w:szCs w:val="24"/>
        </w:rPr>
        <w:t>.1</w:t>
      </w:r>
      <w:r w:rsidRPr="008767DB">
        <w:rPr>
          <w:rFonts w:ascii="Times New Roman" w:hAnsi="Times New Roman" w:cs="Times New Roman"/>
          <w:bCs/>
          <w:iCs/>
          <w:sz w:val="24"/>
          <w:szCs w:val="24"/>
        </w:rPr>
        <w:t xml:space="preserve"> billion. Goods carry-over in June was $0.1 billion (0.1 percent) for exports and $0.1 billion (0.1 percent) for imports. For May, revised export carry-over was</w:t>
      </w:r>
      <w:r>
        <w:rPr>
          <w:rFonts w:ascii="Times New Roman" w:hAnsi="Times New Roman" w:cs="Times New Roman"/>
          <w:bCs/>
          <w:iCs/>
          <w:sz w:val="24"/>
          <w:szCs w:val="24"/>
        </w:rPr>
        <w:t xml:space="preserve"> less than</w:t>
      </w:r>
      <w:r w:rsidRPr="008767DB">
        <w:rPr>
          <w:rFonts w:ascii="Times New Roman" w:hAnsi="Times New Roman" w:cs="Times New Roman"/>
          <w:bCs/>
          <w:iCs/>
          <w:sz w:val="24"/>
          <w:szCs w:val="24"/>
        </w:rPr>
        <w:t xml:space="preserve"> $0.</w:t>
      </w:r>
      <w:r>
        <w:rPr>
          <w:rFonts w:ascii="Times New Roman" w:hAnsi="Times New Roman" w:cs="Times New Roman"/>
          <w:bCs/>
          <w:iCs/>
          <w:sz w:val="24"/>
          <w:szCs w:val="24"/>
        </w:rPr>
        <w:t>1</w:t>
      </w:r>
      <w:r w:rsidRPr="008767DB">
        <w:rPr>
          <w:rFonts w:ascii="Times New Roman" w:hAnsi="Times New Roman" w:cs="Times New Roman"/>
          <w:bCs/>
          <w:iCs/>
          <w:sz w:val="24"/>
          <w:szCs w:val="24"/>
        </w:rPr>
        <w:t xml:space="preserve"> billion (</w:t>
      </w:r>
      <w:r>
        <w:rPr>
          <w:rFonts w:ascii="Times New Roman" w:hAnsi="Times New Roman" w:cs="Times New Roman"/>
          <w:bCs/>
          <w:iCs/>
          <w:sz w:val="24"/>
          <w:szCs w:val="24"/>
        </w:rPr>
        <w:t xml:space="preserve">less than </w:t>
      </w:r>
      <w:r w:rsidRPr="008767DB">
        <w:rPr>
          <w:rFonts w:ascii="Times New Roman" w:hAnsi="Times New Roman" w:cs="Times New Roman"/>
          <w:bCs/>
          <w:iCs/>
          <w:sz w:val="24"/>
          <w:szCs w:val="24"/>
        </w:rPr>
        <w:t>0.</w:t>
      </w:r>
      <w:r>
        <w:rPr>
          <w:rFonts w:ascii="Times New Roman" w:hAnsi="Times New Roman" w:cs="Times New Roman"/>
          <w:bCs/>
          <w:iCs/>
          <w:sz w:val="24"/>
          <w:szCs w:val="24"/>
        </w:rPr>
        <w:t>1</w:t>
      </w:r>
      <w:r w:rsidRPr="008767DB">
        <w:rPr>
          <w:rFonts w:ascii="Times New Roman" w:hAnsi="Times New Roman" w:cs="Times New Roman"/>
          <w:bCs/>
          <w:iCs/>
          <w:sz w:val="24"/>
          <w:szCs w:val="24"/>
        </w:rPr>
        <w:t xml:space="preserve"> percent) and revised import carry-over was $0.1 billion (</w:t>
      </w:r>
      <w:r>
        <w:rPr>
          <w:rFonts w:ascii="Times New Roman" w:hAnsi="Times New Roman" w:cs="Times New Roman"/>
          <w:bCs/>
          <w:iCs/>
          <w:sz w:val="24"/>
          <w:szCs w:val="24"/>
        </w:rPr>
        <w:t xml:space="preserve">less than </w:t>
      </w:r>
      <w:r w:rsidRPr="008767DB">
        <w:rPr>
          <w:rFonts w:ascii="Times New Roman" w:hAnsi="Times New Roman" w:cs="Times New Roman"/>
          <w:bCs/>
          <w:iCs/>
          <w:sz w:val="24"/>
          <w:szCs w:val="24"/>
        </w:rPr>
        <w:t>0.</w:t>
      </w:r>
      <w:r>
        <w:rPr>
          <w:rFonts w:ascii="Times New Roman" w:hAnsi="Times New Roman" w:cs="Times New Roman"/>
          <w:bCs/>
          <w:iCs/>
          <w:sz w:val="24"/>
          <w:szCs w:val="24"/>
        </w:rPr>
        <w:t>1</w:t>
      </w:r>
      <w:r w:rsidRPr="008767DB">
        <w:rPr>
          <w:rFonts w:ascii="Times New Roman" w:hAnsi="Times New Roman" w:cs="Times New Roman"/>
          <w:bCs/>
          <w:iCs/>
          <w:sz w:val="24"/>
          <w:szCs w:val="24"/>
        </w:rPr>
        <w:t xml:space="preserve"> percent).</w:t>
      </w:r>
    </w:p>
    <w:p w14:paraId="54EF5511" w14:textId="0C671821" w:rsidR="001705DB" w:rsidRPr="00403748" w:rsidRDefault="001705DB" w:rsidP="001705DB">
      <w:pPr>
        <w:spacing w:after="120"/>
        <w:ind w:left="-360"/>
        <w:rPr>
          <w:rFonts w:ascii="Times New Roman" w:hAnsi="Times New Roman" w:cs="Times New Roman"/>
          <w:b/>
          <w:sz w:val="24"/>
          <w:szCs w:val="24"/>
        </w:rPr>
      </w:pPr>
      <w:r w:rsidRPr="00C17602">
        <w:rPr>
          <w:rFonts w:ascii="Times New Roman" w:hAnsi="Times New Roman" w:cs="Times New Roman"/>
          <w:b/>
          <w:sz w:val="24"/>
          <w:szCs w:val="24"/>
        </w:rPr>
        <w:t>Quarterly Revisions to Chain-Weighted Dollar Series</w:t>
      </w:r>
      <w:r w:rsidRPr="001172C9">
        <w:rPr>
          <w:rFonts w:ascii="Times New Roman" w:hAnsi="Times New Roman" w:cs="Times New Roman"/>
          <w:sz w:val="24"/>
          <w:szCs w:val="24"/>
        </w:rPr>
        <w:t>:</w:t>
      </w:r>
      <w:r>
        <w:rPr>
          <w:rFonts w:ascii="Times New Roman" w:hAnsi="Times New Roman" w:cs="Times New Roman"/>
          <w:b/>
          <w:sz w:val="24"/>
          <w:szCs w:val="24"/>
        </w:rPr>
        <w:t xml:space="preserve"> </w:t>
      </w:r>
      <w:r w:rsidRPr="00C17602">
        <w:rPr>
          <w:rFonts w:ascii="Times New Roman" w:hAnsi="Times New Roman" w:cs="Times New Roman"/>
          <w:sz w:val="24"/>
          <w:szCs w:val="24"/>
        </w:rPr>
        <w:t>For March, June, September, and December statistical month releases, revisions are made to the real</w:t>
      </w:r>
      <w:r w:rsidR="005E58EE">
        <w:rPr>
          <w:rFonts w:ascii="Times New Roman" w:hAnsi="Times New Roman" w:cs="Times New Roman"/>
          <w:sz w:val="24"/>
          <w:szCs w:val="24"/>
        </w:rPr>
        <w:t>, or</w:t>
      </w:r>
      <w:r w:rsidRPr="00C17602">
        <w:rPr>
          <w:rFonts w:ascii="Times New Roman" w:hAnsi="Times New Roman" w:cs="Times New Roman"/>
          <w:sz w:val="24"/>
          <w:szCs w:val="24"/>
        </w:rPr>
        <w:t xml:space="preserve"> chained-dollar</w:t>
      </w:r>
      <w:r w:rsidR="005E58EE">
        <w:rPr>
          <w:rFonts w:ascii="Times New Roman" w:hAnsi="Times New Roman" w:cs="Times New Roman"/>
          <w:sz w:val="24"/>
          <w:szCs w:val="24"/>
        </w:rPr>
        <w:t>,</w:t>
      </w:r>
      <w:r w:rsidRPr="00C17602">
        <w:rPr>
          <w:rFonts w:ascii="Times New Roman" w:hAnsi="Times New Roman" w:cs="Times New Roman"/>
          <w:sz w:val="24"/>
          <w:szCs w:val="24"/>
        </w:rPr>
        <w:t xml:space="preserve"> series presented in Exhibits 10 and 11: the previous five months are revised to incorporate the </w:t>
      </w:r>
      <w:r>
        <w:rPr>
          <w:rFonts w:ascii="Times New Roman" w:hAnsi="Times New Roman" w:cs="Times New Roman"/>
          <w:sz w:val="24"/>
          <w:szCs w:val="24"/>
        </w:rPr>
        <w:t xml:space="preserve">U.S. </w:t>
      </w:r>
      <w:r w:rsidRPr="00C17602">
        <w:rPr>
          <w:rFonts w:ascii="Times New Roman" w:hAnsi="Times New Roman" w:cs="Times New Roman"/>
          <w:sz w:val="24"/>
          <w:szCs w:val="24"/>
        </w:rPr>
        <w:t xml:space="preserve">Bureau of Labor Statistics’ </w:t>
      </w:r>
      <w:r>
        <w:rPr>
          <w:rFonts w:ascii="Times New Roman" w:hAnsi="Times New Roman" w:cs="Times New Roman"/>
          <w:sz w:val="24"/>
          <w:szCs w:val="24"/>
        </w:rPr>
        <w:t xml:space="preserve">(BLS) </w:t>
      </w:r>
      <w:r w:rsidRPr="00C17602">
        <w:rPr>
          <w:rFonts w:ascii="Times New Roman" w:hAnsi="Times New Roman" w:cs="Times New Roman"/>
          <w:sz w:val="24"/>
          <w:szCs w:val="24"/>
        </w:rPr>
        <w:t xml:space="preserve">revisions to price indexes, which are used to produce the real series and to align Census data with data published by the U.S. Bureau of Economic Analysis (BEA) in the </w:t>
      </w:r>
      <w:r>
        <w:rPr>
          <w:rFonts w:ascii="Times New Roman" w:hAnsi="Times New Roman" w:cs="Times New Roman"/>
          <w:sz w:val="24"/>
          <w:szCs w:val="24"/>
        </w:rPr>
        <w:t>n</w:t>
      </w:r>
      <w:r w:rsidRPr="00C17602">
        <w:rPr>
          <w:rFonts w:ascii="Times New Roman" w:hAnsi="Times New Roman" w:cs="Times New Roman"/>
          <w:sz w:val="24"/>
          <w:szCs w:val="24"/>
        </w:rPr>
        <w:t xml:space="preserve">ational </w:t>
      </w:r>
      <w:r>
        <w:rPr>
          <w:rFonts w:ascii="Times New Roman" w:hAnsi="Times New Roman" w:cs="Times New Roman"/>
          <w:sz w:val="24"/>
          <w:szCs w:val="24"/>
        </w:rPr>
        <w:t>i</w:t>
      </w:r>
      <w:r w:rsidRPr="00C17602">
        <w:rPr>
          <w:rFonts w:ascii="Times New Roman" w:hAnsi="Times New Roman" w:cs="Times New Roman"/>
          <w:sz w:val="24"/>
          <w:szCs w:val="24"/>
        </w:rPr>
        <w:t xml:space="preserve">ncome and </w:t>
      </w:r>
      <w:r>
        <w:rPr>
          <w:rFonts w:ascii="Times New Roman" w:hAnsi="Times New Roman" w:cs="Times New Roman"/>
          <w:sz w:val="24"/>
          <w:szCs w:val="24"/>
        </w:rPr>
        <w:t>p</w:t>
      </w:r>
      <w:r w:rsidRPr="00C17602">
        <w:rPr>
          <w:rFonts w:ascii="Times New Roman" w:hAnsi="Times New Roman" w:cs="Times New Roman"/>
          <w:sz w:val="24"/>
          <w:szCs w:val="24"/>
        </w:rPr>
        <w:t xml:space="preserve">roduct </w:t>
      </w:r>
      <w:r>
        <w:rPr>
          <w:rFonts w:ascii="Times New Roman" w:hAnsi="Times New Roman" w:cs="Times New Roman"/>
          <w:sz w:val="24"/>
          <w:szCs w:val="24"/>
        </w:rPr>
        <w:t>a</w:t>
      </w:r>
      <w:r w:rsidRPr="00C17602">
        <w:rPr>
          <w:rFonts w:ascii="Times New Roman" w:hAnsi="Times New Roman" w:cs="Times New Roman"/>
          <w:sz w:val="24"/>
          <w:szCs w:val="24"/>
        </w:rPr>
        <w:t>ccounts (NIPAs).</w:t>
      </w:r>
    </w:p>
    <w:p w14:paraId="7C9F4EF4"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sz w:val="24"/>
          <w:szCs w:val="24"/>
        </w:rPr>
        <w:t>Annual Revisions</w:t>
      </w:r>
      <w:r>
        <w:rPr>
          <w:rFonts w:ascii="Times New Roman" w:hAnsi="Times New Roman" w:cs="Times New Roman"/>
          <w:sz w:val="24"/>
          <w:szCs w:val="24"/>
        </w:rPr>
        <w:t xml:space="preserve">: </w:t>
      </w:r>
      <w:r w:rsidRPr="00C17602">
        <w:rPr>
          <w:rFonts w:ascii="Times New Roman" w:hAnsi="Times New Roman" w:cs="Times New Roman"/>
          <w:sz w:val="24"/>
          <w:szCs w:val="24"/>
        </w:rPr>
        <w:t>Each June, not seasonally adjusted goods data are revised to redistribute monthly data that arrived too late for inclusion in the month of transaction. In addition, revisions are made to reflect corrections received subsequent to the monthly revisions. Seasonally adjusted data are also revised to reflect recalculated seasonal and trading-day adjustments. These revisions are reflected in totals, end-use, commodity, and country summary data.</w:t>
      </w:r>
    </w:p>
    <w:p w14:paraId="06A4E86C" w14:textId="77777777" w:rsidR="001705DB" w:rsidRPr="00403748" w:rsidRDefault="001705DB" w:rsidP="001705DB">
      <w:pPr>
        <w:spacing w:after="120"/>
        <w:ind w:left="-360"/>
        <w:rPr>
          <w:rFonts w:ascii="Times New Roman" w:hAnsi="Times New Roman" w:cs="Times New Roman"/>
          <w:i/>
          <w:sz w:val="24"/>
          <w:szCs w:val="24"/>
        </w:rPr>
      </w:pPr>
      <w:r w:rsidRPr="00C17602">
        <w:rPr>
          <w:rFonts w:ascii="Times New Roman" w:hAnsi="Times New Roman" w:cs="Times New Roman"/>
          <w:b/>
          <w:sz w:val="24"/>
          <w:szCs w:val="24"/>
        </w:rPr>
        <w:t>Other Revisions</w:t>
      </w:r>
      <w:r w:rsidRPr="001172C9">
        <w:rPr>
          <w:rFonts w:ascii="Times New Roman" w:hAnsi="Times New Roman" w:cs="Times New Roman"/>
          <w:sz w:val="24"/>
          <w:szCs w:val="24"/>
        </w:rPr>
        <w:t>:</w:t>
      </w:r>
      <w:r w:rsidRPr="00C17602">
        <w:rPr>
          <w:rFonts w:ascii="Times New Roman" w:hAnsi="Times New Roman" w:cs="Times New Roman"/>
          <w:i/>
          <w:sz w:val="24"/>
          <w:szCs w:val="24"/>
        </w:rPr>
        <w:t xml:space="preserve"> </w:t>
      </w:r>
      <w:r w:rsidRPr="00C17602">
        <w:rPr>
          <w:rFonts w:ascii="Times New Roman" w:hAnsi="Times New Roman" w:cs="Times New Roman"/>
          <w:sz w:val="24"/>
          <w:szCs w:val="24"/>
        </w:rPr>
        <w:t>For December and January statistical month releases, each prior month of the most recent full year is revised so that the totals of the seasonally adjusted months equal the annual totals.</w:t>
      </w:r>
    </w:p>
    <w:p w14:paraId="7F751B6C" w14:textId="77777777" w:rsidR="001705DB" w:rsidRPr="008F1C33" w:rsidRDefault="001705DB" w:rsidP="001705DB">
      <w:pPr>
        <w:spacing w:after="0"/>
        <w:ind w:left="-360"/>
        <w:rPr>
          <w:rFonts w:ascii="Arial" w:hAnsi="Arial" w:cs="Arial"/>
          <w:b/>
          <w:i/>
          <w:sz w:val="24"/>
          <w:szCs w:val="24"/>
        </w:rPr>
      </w:pPr>
      <w:r w:rsidRPr="008F1C33">
        <w:rPr>
          <w:rFonts w:ascii="Arial" w:hAnsi="Arial" w:cs="Arial"/>
          <w:b/>
          <w:i/>
          <w:sz w:val="24"/>
          <w:szCs w:val="24"/>
        </w:rPr>
        <w:t>U.S./Canada Data Exchange and Substitution</w:t>
      </w:r>
    </w:p>
    <w:p w14:paraId="4AA9F42C"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Data for U.S. exports to Canada are derived from import data compiled by Canada. The use of Canada's import data to produce U.S. export data requires several alignments in order to compare the two series.</w:t>
      </w:r>
    </w:p>
    <w:p w14:paraId="75091239" w14:textId="322B5803" w:rsidR="001705DB" w:rsidRPr="00C17602" w:rsidRDefault="001705DB" w:rsidP="001705DB">
      <w:pPr>
        <w:numPr>
          <w:ilvl w:val="0"/>
          <w:numId w:val="14"/>
        </w:numPr>
        <w:spacing w:after="120"/>
        <w:rPr>
          <w:rFonts w:ascii="Times New Roman" w:hAnsi="Times New Roman" w:cs="Times New Roman"/>
          <w:sz w:val="24"/>
          <w:szCs w:val="24"/>
        </w:rPr>
      </w:pPr>
      <w:r w:rsidRPr="00C17602">
        <w:rPr>
          <w:rFonts w:ascii="Times New Roman" w:hAnsi="Times New Roman" w:cs="Times New Roman"/>
          <w:i/>
          <w:iCs/>
          <w:sz w:val="24"/>
          <w:szCs w:val="24"/>
        </w:rPr>
        <w:t>Coverage</w:t>
      </w:r>
      <w:r w:rsidRPr="00C17602">
        <w:rPr>
          <w:rFonts w:ascii="Times New Roman" w:hAnsi="Times New Roman" w:cs="Times New Roman"/>
          <w:sz w:val="24"/>
          <w:szCs w:val="24"/>
        </w:rPr>
        <w:t xml:space="preserve"> - Canadian imports are based on country of origin. U.S. goods shipped from a third country are included. U.S. exports exclude these foreign shipments. For </w:t>
      </w:r>
      <w:r w:rsidR="008767DB">
        <w:rPr>
          <w:rFonts w:ascii="Times New Roman" w:hAnsi="Times New Roman" w:cs="Times New Roman"/>
          <w:sz w:val="24"/>
          <w:szCs w:val="24"/>
        </w:rPr>
        <w:t>June</w:t>
      </w:r>
      <w:r w:rsidR="00B57B69">
        <w:rPr>
          <w:rFonts w:ascii="Times New Roman" w:hAnsi="Times New Roman" w:cs="Times New Roman"/>
          <w:sz w:val="24"/>
          <w:szCs w:val="24"/>
        </w:rPr>
        <w:t xml:space="preserve"> </w:t>
      </w:r>
      <w:r w:rsidR="00EE1F45">
        <w:rPr>
          <w:rFonts w:ascii="Times New Roman" w:hAnsi="Times New Roman" w:cs="Times New Roman"/>
          <w:sz w:val="24"/>
          <w:szCs w:val="24"/>
        </w:rPr>
        <w:t>2018</w:t>
      </w:r>
      <w:r w:rsidRPr="00C17602">
        <w:rPr>
          <w:rFonts w:ascii="Times New Roman" w:hAnsi="Times New Roman" w:cs="Times New Roman"/>
          <w:sz w:val="24"/>
          <w:szCs w:val="24"/>
        </w:rPr>
        <w:t>, these shipments totaled $</w:t>
      </w:r>
      <w:r w:rsidR="006175ED">
        <w:rPr>
          <w:rFonts w:ascii="Times New Roman" w:hAnsi="Times New Roman" w:cs="Times New Roman"/>
          <w:sz w:val="24"/>
          <w:szCs w:val="24"/>
        </w:rPr>
        <w:t>219.9</w:t>
      </w:r>
      <w:r w:rsidRPr="00C17602">
        <w:rPr>
          <w:rFonts w:ascii="Times New Roman" w:hAnsi="Times New Roman" w:cs="Times New Roman"/>
          <w:sz w:val="24"/>
          <w:szCs w:val="24"/>
        </w:rPr>
        <w:t xml:space="preserve"> million. U.S. export coverage also excludes U.S. postal shipments to Canada. For </w:t>
      </w:r>
      <w:r w:rsidR="006175ED">
        <w:rPr>
          <w:rFonts w:ascii="Times New Roman" w:hAnsi="Times New Roman" w:cs="Times New Roman"/>
          <w:sz w:val="24"/>
          <w:szCs w:val="24"/>
        </w:rPr>
        <w:t>June</w:t>
      </w:r>
      <w:r>
        <w:rPr>
          <w:rFonts w:ascii="Times New Roman" w:hAnsi="Times New Roman" w:cs="Times New Roman"/>
          <w:sz w:val="24"/>
          <w:szCs w:val="24"/>
        </w:rPr>
        <w:t xml:space="preserve"> 201</w:t>
      </w:r>
      <w:r w:rsidR="00A465EE">
        <w:rPr>
          <w:rFonts w:ascii="Times New Roman" w:hAnsi="Times New Roman" w:cs="Times New Roman"/>
          <w:sz w:val="24"/>
          <w:szCs w:val="24"/>
        </w:rPr>
        <w:t>8</w:t>
      </w:r>
      <w:r w:rsidRPr="00C17602">
        <w:rPr>
          <w:rFonts w:ascii="Times New Roman" w:hAnsi="Times New Roman" w:cs="Times New Roman"/>
          <w:sz w:val="24"/>
          <w:szCs w:val="24"/>
        </w:rPr>
        <w:t>, these shipments totaled $</w:t>
      </w:r>
      <w:r w:rsidR="006175ED">
        <w:rPr>
          <w:rFonts w:ascii="Times New Roman" w:hAnsi="Times New Roman" w:cs="Times New Roman"/>
          <w:sz w:val="24"/>
          <w:szCs w:val="24"/>
        </w:rPr>
        <w:t>27.0</w:t>
      </w:r>
      <w:r w:rsidRPr="00C17602">
        <w:rPr>
          <w:rFonts w:ascii="Times New Roman" w:hAnsi="Times New Roman" w:cs="Times New Roman"/>
          <w:sz w:val="24"/>
          <w:szCs w:val="24"/>
        </w:rPr>
        <w:t xml:space="preserve"> million.</w:t>
      </w:r>
    </w:p>
    <w:p w14:paraId="780D1787"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U.S. import coverage includes shipments of railcars and locomotives from Canada. Effective with January 2004 statistics, Canada excludes these shipments from its goods exports to the United States, therefore creating coverage differences between the two countries for these goods.</w:t>
      </w:r>
    </w:p>
    <w:p w14:paraId="294C9BF1" w14:textId="7A01E5A9" w:rsidR="001705DB" w:rsidRPr="00C17602" w:rsidRDefault="001705DB" w:rsidP="001705DB">
      <w:pPr>
        <w:numPr>
          <w:ilvl w:val="0"/>
          <w:numId w:val="14"/>
        </w:numPr>
        <w:spacing w:after="120"/>
        <w:rPr>
          <w:rFonts w:ascii="Times New Roman" w:hAnsi="Times New Roman" w:cs="Times New Roman"/>
          <w:sz w:val="24"/>
          <w:szCs w:val="24"/>
        </w:rPr>
      </w:pPr>
      <w:r w:rsidRPr="00C17602">
        <w:rPr>
          <w:rFonts w:ascii="Times New Roman" w:hAnsi="Times New Roman" w:cs="Times New Roman"/>
          <w:i/>
          <w:iCs/>
          <w:sz w:val="24"/>
          <w:szCs w:val="24"/>
        </w:rPr>
        <w:t>Valuation</w:t>
      </w:r>
      <w:r w:rsidRPr="00C17602">
        <w:rPr>
          <w:rFonts w:ascii="Times New Roman" w:hAnsi="Times New Roman" w:cs="Times New Roman"/>
          <w:sz w:val="24"/>
          <w:szCs w:val="24"/>
        </w:rPr>
        <w:t xml:space="preserve"> - Canadian imports are valued at the point of origin in the United States. However, U.S. exports are valued at the port of exit in the United States and include inland freight charges, making the U.S. export value slightly larger than the Canadian import value. Canada requires inland freight to be reported separately from the value of the goods. Combining the inland freight and the Canadian reported import value provides a consistent valuation for all U.S. exports. Inland freight charges for </w:t>
      </w:r>
      <w:r w:rsidR="006175ED">
        <w:rPr>
          <w:rFonts w:ascii="Times New Roman" w:hAnsi="Times New Roman" w:cs="Times New Roman"/>
          <w:sz w:val="24"/>
          <w:szCs w:val="24"/>
        </w:rPr>
        <w:t>June</w:t>
      </w:r>
      <w:r w:rsidR="00A465EE">
        <w:rPr>
          <w:rFonts w:ascii="Times New Roman" w:hAnsi="Times New Roman" w:cs="Times New Roman"/>
          <w:sz w:val="24"/>
          <w:szCs w:val="24"/>
        </w:rPr>
        <w:t xml:space="preserve"> 2018</w:t>
      </w:r>
      <w:r>
        <w:rPr>
          <w:rFonts w:ascii="Times New Roman" w:hAnsi="Times New Roman" w:cs="Times New Roman"/>
          <w:sz w:val="24"/>
          <w:szCs w:val="24"/>
        </w:rPr>
        <w:t xml:space="preserve"> </w:t>
      </w:r>
      <w:r w:rsidRPr="00C17602">
        <w:rPr>
          <w:rFonts w:ascii="Times New Roman" w:hAnsi="Times New Roman" w:cs="Times New Roman"/>
          <w:sz w:val="24"/>
          <w:szCs w:val="24"/>
        </w:rPr>
        <w:t xml:space="preserve">accounted for </w:t>
      </w:r>
      <w:r w:rsidR="006175ED">
        <w:rPr>
          <w:rFonts w:ascii="Times New Roman" w:hAnsi="Times New Roman" w:cs="Times New Roman"/>
          <w:sz w:val="24"/>
          <w:szCs w:val="24"/>
        </w:rPr>
        <w:t>1.9</w:t>
      </w:r>
      <w:r w:rsidRPr="00C17602">
        <w:rPr>
          <w:rFonts w:ascii="Times New Roman" w:hAnsi="Times New Roman" w:cs="Times New Roman"/>
          <w:sz w:val="24"/>
          <w:szCs w:val="24"/>
        </w:rPr>
        <w:t xml:space="preserve"> percent of the value of U.S. exports to Canada.</w:t>
      </w:r>
    </w:p>
    <w:p w14:paraId="7B0736CD" w14:textId="4BAFFCC6" w:rsidR="001705DB" w:rsidRPr="00C17602" w:rsidRDefault="001705DB" w:rsidP="001705DB">
      <w:pPr>
        <w:numPr>
          <w:ilvl w:val="0"/>
          <w:numId w:val="14"/>
        </w:numPr>
        <w:spacing w:after="120"/>
        <w:rPr>
          <w:rFonts w:ascii="Times New Roman" w:hAnsi="Times New Roman" w:cs="Times New Roman"/>
          <w:sz w:val="24"/>
          <w:szCs w:val="24"/>
        </w:rPr>
      </w:pPr>
      <w:r w:rsidRPr="00C17602">
        <w:rPr>
          <w:rFonts w:ascii="Times New Roman" w:hAnsi="Times New Roman" w:cs="Times New Roman"/>
          <w:i/>
          <w:iCs/>
          <w:sz w:val="24"/>
          <w:szCs w:val="24"/>
        </w:rPr>
        <w:t>Re-exports</w:t>
      </w:r>
      <w:r w:rsidRPr="00C17602">
        <w:rPr>
          <w:rFonts w:ascii="Times New Roman" w:hAnsi="Times New Roman" w:cs="Times New Roman"/>
          <w:iCs/>
          <w:sz w:val="24"/>
          <w:szCs w:val="24"/>
        </w:rPr>
        <w:t xml:space="preserve"> - Unlike Canadian imports, which are based on country of origin, </w:t>
      </w:r>
      <w:r w:rsidRPr="00C17602">
        <w:rPr>
          <w:rFonts w:ascii="Times New Roman" w:hAnsi="Times New Roman" w:cs="Times New Roman"/>
          <w:sz w:val="24"/>
          <w:szCs w:val="24"/>
        </w:rPr>
        <w:t xml:space="preserve">U.S. exports include re-exports of foreign goods. Therefore, the aggregate U.S. export figure is slightly larger than the Canadian import figure. For </w:t>
      </w:r>
      <w:r w:rsidR="006175ED">
        <w:rPr>
          <w:rFonts w:ascii="Times New Roman" w:hAnsi="Times New Roman" w:cs="Times New Roman"/>
          <w:sz w:val="24"/>
          <w:szCs w:val="24"/>
        </w:rPr>
        <w:t>June</w:t>
      </w:r>
      <w:r w:rsidR="00B57B69">
        <w:rPr>
          <w:rFonts w:ascii="Times New Roman" w:hAnsi="Times New Roman" w:cs="Times New Roman"/>
          <w:sz w:val="24"/>
          <w:szCs w:val="24"/>
        </w:rPr>
        <w:t xml:space="preserve"> </w:t>
      </w:r>
      <w:r w:rsidR="00A465EE">
        <w:rPr>
          <w:rFonts w:ascii="Times New Roman" w:hAnsi="Times New Roman" w:cs="Times New Roman"/>
          <w:sz w:val="24"/>
          <w:szCs w:val="24"/>
        </w:rPr>
        <w:t>2018</w:t>
      </w:r>
      <w:r w:rsidRPr="00C17602">
        <w:rPr>
          <w:rFonts w:ascii="Times New Roman" w:hAnsi="Times New Roman" w:cs="Times New Roman"/>
          <w:sz w:val="24"/>
          <w:szCs w:val="24"/>
        </w:rPr>
        <w:t>, re-exports to Canada were $</w:t>
      </w:r>
      <w:r w:rsidR="00B57B69">
        <w:rPr>
          <w:rFonts w:ascii="Times New Roman" w:hAnsi="Times New Roman" w:cs="Times New Roman"/>
          <w:sz w:val="24"/>
          <w:szCs w:val="24"/>
        </w:rPr>
        <w:t>4,</w:t>
      </w:r>
      <w:r w:rsidR="006175ED">
        <w:rPr>
          <w:rFonts w:ascii="Times New Roman" w:hAnsi="Times New Roman" w:cs="Times New Roman"/>
          <w:sz w:val="24"/>
          <w:szCs w:val="24"/>
        </w:rPr>
        <w:t>438</w:t>
      </w:r>
      <w:r w:rsidR="002962C2">
        <w:rPr>
          <w:rFonts w:ascii="Times New Roman" w:hAnsi="Times New Roman" w:cs="Times New Roman"/>
          <w:sz w:val="24"/>
          <w:szCs w:val="24"/>
        </w:rPr>
        <w:t>.7</w:t>
      </w:r>
      <w:r w:rsidRPr="00C17602">
        <w:rPr>
          <w:rFonts w:ascii="Times New Roman" w:hAnsi="Times New Roman" w:cs="Times New Roman"/>
          <w:sz w:val="24"/>
          <w:szCs w:val="24"/>
        </w:rPr>
        <w:t xml:space="preserve"> million.</w:t>
      </w:r>
    </w:p>
    <w:p w14:paraId="5ECE56E6" w14:textId="7B5F100C" w:rsidR="001705DB" w:rsidRPr="00C17602" w:rsidRDefault="001705DB" w:rsidP="001705DB">
      <w:pPr>
        <w:numPr>
          <w:ilvl w:val="0"/>
          <w:numId w:val="14"/>
        </w:numPr>
        <w:spacing w:after="120"/>
        <w:rPr>
          <w:rFonts w:ascii="Times New Roman" w:hAnsi="Times New Roman" w:cs="Times New Roman"/>
          <w:sz w:val="24"/>
          <w:szCs w:val="24"/>
        </w:rPr>
      </w:pPr>
      <w:r w:rsidRPr="00C17602">
        <w:rPr>
          <w:rFonts w:ascii="Times New Roman" w:hAnsi="Times New Roman" w:cs="Times New Roman"/>
          <w:i/>
          <w:iCs/>
          <w:sz w:val="24"/>
          <w:szCs w:val="24"/>
        </w:rPr>
        <w:t>Exchange Rate</w:t>
      </w:r>
      <w:r w:rsidRPr="00C17602">
        <w:rPr>
          <w:rFonts w:ascii="Times New Roman" w:hAnsi="Times New Roman" w:cs="Times New Roman"/>
          <w:iCs/>
          <w:sz w:val="24"/>
          <w:szCs w:val="24"/>
        </w:rPr>
        <w:t xml:space="preserve"> - </w:t>
      </w:r>
      <w:r w:rsidRPr="00C17602">
        <w:rPr>
          <w:rFonts w:ascii="Times New Roman" w:hAnsi="Times New Roman" w:cs="Times New Roman"/>
          <w:sz w:val="24"/>
          <w:szCs w:val="24"/>
        </w:rPr>
        <w:t xml:space="preserve">Average monthly exchange rates are applied to convert the published data to U.S. currency. For </w:t>
      </w:r>
      <w:r w:rsidR="006175ED">
        <w:rPr>
          <w:rFonts w:ascii="Times New Roman" w:hAnsi="Times New Roman" w:cs="Times New Roman"/>
          <w:sz w:val="24"/>
          <w:szCs w:val="24"/>
        </w:rPr>
        <w:t>June</w:t>
      </w:r>
      <w:r w:rsidR="00A465EE">
        <w:rPr>
          <w:rFonts w:ascii="Times New Roman" w:hAnsi="Times New Roman" w:cs="Times New Roman"/>
          <w:sz w:val="24"/>
          <w:szCs w:val="24"/>
        </w:rPr>
        <w:t xml:space="preserve"> 2018</w:t>
      </w:r>
      <w:r w:rsidRPr="00C17602">
        <w:rPr>
          <w:rFonts w:ascii="Times New Roman" w:hAnsi="Times New Roman" w:cs="Times New Roman"/>
          <w:sz w:val="24"/>
          <w:szCs w:val="24"/>
        </w:rPr>
        <w:t xml:space="preserve">, the average exchange rate was </w:t>
      </w:r>
      <w:r w:rsidR="006175ED">
        <w:rPr>
          <w:rFonts w:ascii="Times New Roman" w:hAnsi="Times New Roman" w:cs="Times New Roman"/>
          <w:sz w:val="24"/>
          <w:szCs w:val="24"/>
        </w:rPr>
        <w:t>1.3125</w:t>
      </w:r>
      <w:r w:rsidR="00A465EE">
        <w:rPr>
          <w:rFonts w:ascii="Times New Roman" w:hAnsi="Times New Roman" w:cs="Times New Roman"/>
          <w:sz w:val="24"/>
          <w:szCs w:val="24"/>
        </w:rPr>
        <w:t xml:space="preserve"> </w:t>
      </w:r>
      <w:r w:rsidRPr="00C17602">
        <w:rPr>
          <w:rFonts w:ascii="Times New Roman" w:hAnsi="Times New Roman" w:cs="Times New Roman"/>
          <w:sz w:val="24"/>
          <w:szCs w:val="24"/>
        </w:rPr>
        <w:t>Canadian dollars per U.S. dollar.</w:t>
      </w:r>
    </w:p>
    <w:p w14:paraId="2CE89C48" w14:textId="77777777" w:rsidR="001705DB" w:rsidRPr="00C17602" w:rsidRDefault="001705DB" w:rsidP="001705DB">
      <w:pPr>
        <w:numPr>
          <w:ilvl w:val="0"/>
          <w:numId w:val="14"/>
        </w:numPr>
        <w:spacing w:after="120"/>
        <w:rPr>
          <w:rFonts w:ascii="Times New Roman" w:hAnsi="Times New Roman" w:cs="Times New Roman"/>
          <w:sz w:val="24"/>
          <w:szCs w:val="24"/>
        </w:rPr>
      </w:pPr>
      <w:r w:rsidRPr="00C17602">
        <w:rPr>
          <w:rFonts w:ascii="Times New Roman" w:hAnsi="Times New Roman" w:cs="Times New Roman"/>
          <w:i/>
          <w:iCs/>
          <w:sz w:val="24"/>
          <w:szCs w:val="24"/>
        </w:rPr>
        <w:t>Other</w:t>
      </w:r>
      <w:r w:rsidRPr="00C17602">
        <w:rPr>
          <w:rFonts w:ascii="Times New Roman" w:hAnsi="Times New Roman" w:cs="Times New Roman"/>
          <w:sz w:val="24"/>
          <w:szCs w:val="24"/>
        </w:rPr>
        <w:t xml:space="preserve"> - There are other minor differences, such as rounding error, that are statistically insignificant.</w:t>
      </w:r>
    </w:p>
    <w:p w14:paraId="72C0511E" w14:textId="77777777" w:rsidR="001705DB" w:rsidRPr="00C17602" w:rsidRDefault="001705DB" w:rsidP="001705DB">
      <w:pPr>
        <w:spacing w:after="120"/>
        <w:ind w:left="-360"/>
        <w:rPr>
          <w:rFonts w:ascii="Times New Roman" w:hAnsi="Times New Roman" w:cs="Times New Roman"/>
          <w:sz w:val="24"/>
          <w:szCs w:val="24"/>
        </w:rPr>
      </w:pPr>
      <w:r>
        <w:rPr>
          <w:rFonts w:ascii="Times New Roman" w:hAnsi="Times New Roman" w:cs="Times New Roman"/>
          <w:b/>
          <w:sz w:val="24"/>
          <w:szCs w:val="24"/>
        </w:rPr>
        <w:t>Canadian Estimates</w:t>
      </w:r>
      <w:r>
        <w:rPr>
          <w:rFonts w:ascii="Times New Roman" w:hAnsi="Times New Roman" w:cs="Times New Roman"/>
          <w:sz w:val="24"/>
          <w:szCs w:val="24"/>
        </w:rPr>
        <w:t xml:space="preserve">: </w:t>
      </w:r>
      <w:r w:rsidRPr="00C17602">
        <w:rPr>
          <w:rFonts w:ascii="Times New Roman" w:hAnsi="Times New Roman" w:cs="Times New Roman"/>
          <w:sz w:val="24"/>
          <w:szCs w:val="24"/>
        </w:rPr>
        <w:t>Effective with January 2001 statistics, the current month data for exports to Canada contain an estimate for late arrivals and corrections. In the following month, this estimate is replaced, in the news release exhibits only, with the actual value of late receipts and corrections. This estimate improves the current month data for exports to Canada and treats late receipts for exports to Canada in a manner that is more consistent with the treatment of late receipts for exports to other countries.</w:t>
      </w:r>
    </w:p>
    <w:p w14:paraId="56F4D95E" w14:textId="77777777" w:rsidR="001705DB" w:rsidRPr="005E58EE" w:rsidRDefault="001705DB" w:rsidP="001705DB">
      <w:pPr>
        <w:spacing w:after="0"/>
        <w:ind w:left="-360"/>
        <w:rPr>
          <w:rFonts w:ascii="Arial" w:hAnsi="Arial" w:cs="Arial"/>
          <w:b/>
          <w:bCs/>
          <w:i/>
          <w:sz w:val="24"/>
          <w:szCs w:val="24"/>
        </w:rPr>
      </w:pPr>
      <w:proofErr w:type="spellStart"/>
      <w:r w:rsidRPr="005E58EE">
        <w:rPr>
          <w:rFonts w:ascii="Arial" w:hAnsi="Arial" w:cs="Arial"/>
          <w:b/>
          <w:bCs/>
          <w:i/>
          <w:sz w:val="24"/>
          <w:szCs w:val="24"/>
        </w:rPr>
        <w:t>Nonsampling</w:t>
      </w:r>
      <w:proofErr w:type="spellEnd"/>
      <w:r w:rsidRPr="005E58EE">
        <w:rPr>
          <w:rFonts w:ascii="Arial" w:hAnsi="Arial" w:cs="Arial"/>
          <w:b/>
          <w:bCs/>
          <w:i/>
          <w:sz w:val="24"/>
          <w:szCs w:val="24"/>
        </w:rPr>
        <w:t xml:space="preserve"> Errors</w:t>
      </w:r>
    </w:p>
    <w:p w14:paraId="0A43D387"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 xml:space="preserve">The goods data are a complete enumeration of documents collected by </w:t>
      </w:r>
      <w:r>
        <w:rPr>
          <w:rFonts w:ascii="Times New Roman" w:hAnsi="Times New Roman" w:cs="Times New Roman"/>
          <w:sz w:val="24"/>
          <w:szCs w:val="24"/>
        </w:rPr>
        <w:t>CBP</w:t>
      </w:r>
      <w:r w:rsidRPr="00C17602">
        <w:rPr>
          <w:rFonts w:ascii="Times New Roman" w:hAnsi="Times New Roman" w:cs="Times New Roman"/>
          <w:sz w:val="24"/>
          <w:szCs w:val="24"/>
        </w:rPr>
        <w:t xml:space="preserve"> and are not subject to sampling errors. Quality assurance procedures are performed at every stage of collection, processing, and tabulation. However, the data are still subject to several types of </w:t>
      </w:r>
      <w:proofErr w:type="spellStart"/>
      <w:r w:rsidRPr="00C17602">
        <w:rPr>
          <w:rFonts w:ascii="Times New Roman" w:hAnsi="Times New Roman" w:cs="Times New Roman"/>
          <w:sz w:val="24"/>
          <w:szCs w:val="24"/>
        </w:rPr>
        <w:t>nonsampling</w:t>
      </w:r>
      <w:proofErr w:type="spellEnd"/>
      <w:r w:rsidRPr="00C17602">
        <w:rPr>
          <w:rFonts w:ascii="Times New Roman" w:hAnsi="Times New Roman" w:cs="Times New Roman"/>
          <w:sz w:val="24"/>
          <w:szCs w:val="24"/>
        </w:rPr>
        <w:t xml:space="preserve"> errors. The most significant of these include reporting errors, undocumented shipments, timeliness, data capture errors, and errors in the estimation of low-valued transactions.</w:t>
      </w:r>
    </w:p>
    <w:p w14:paraId="6716967E" w14:textId="77777777" w:rsidR="001705DB"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Reporting Errors</w:t>
      </w:r>
      <w:r w:rsidRPr="001172C9">
        <w:rPr>
          <w:rFonts w:ascii="Times New Roman" w:hAnsi="Times New Roman" w:cs="Times New Roman"/>
          <w:bCs/>
          <w:sz w:val="24"/>
          <w:szCs w:val="24"/>
        </w:rPr>
        <w:t>:</w:t>
      </w:r>
      <w:r w:rsidRPr="00C17602">
        <w:rPr>
          <w:rFonts w:ascii="Times New Roman" w:hAnsi="Times New Roman" w:cs="Times New Roman"/>
          <w:sz w:val="24"/>
          <w:szCs w:val="24"/>
        </w:rPr>
        <w:t xml:space="preserve"> Reporting errors are mistakes or omissions made by importers, exporters, or their agents in their import or export declarations. Most errors involve missing or invalid commodity classification codes and missing or incorrect quantities or shipping weights. They have a negligible effect on aggregate import, export, and balance of trade statistics. However, they can affect the detailed commodity statistics.</w:t>
      </w:r>
    </w:p>
    <w:p w14:paraId="68983F4E"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Undocumented Shipments</w:t>
      </w:r>
      <w:r w:rsidRPr="001172C9">
        <w:rPr>
          <w:rFonts w:ascii="Times New Roman" w:hAnsi="Times New Roman" w:cs="Times New Roman"/>
          <w:bCs/>
          <w:sz w:val="24"/>
          <w:szCs w:val="24"/>
        </w:rPr>
        <w:t>:</w:t>
      </w:r>
      <w:r>
        <w:rPr>
          <w:rFonts w:ascii="Times New Roman" w:hAnsi="Times New Roman" w:cs="Times New Roman"/>
          <w:b/>
          <w:bCs/>
          <w:sz w:val="24"/>
          <w:szCs w:val="24"/>
        </w:rPr>
        <w:t xml:space="preserve"> </w:t>
      </w:r>
      <w:r w:rsidRPr="00C17602">
        <w:rPr>
          <w:rFonts w:ascii="Times New Roman" w:hAnsi="Times New Roman" w:cs="Times New Roman"/>
          <w:sz w:val="24"/>
          <w:szCs w:val="24"/>
        </w:rPr>
        <w:t>Federal regulations require importers, exporters, or their agents to report all merchandise shipments above established exemption levels. The Census Bureau has determined that not all required documents are filed, particularly for exports.</w:t>
      </w:r>
    </w:p>
    <w:p w14:paraId="33C183E1"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Timeliness and Data Capture Errors</w:t>
      </w:r>
      <w:r>
        <w:rPr>
          <w:rFonts w:ascii="Times New Roman" w:hAnsi="Times New Roman" w:cs="Times New Roman"/>
          <w:sz w:val="24"/>
          <w:szCs w:val="24"/>
        </w:rPr>
        <w:t xml:space="preserve">: </w:t>
      </w:r>
      <w:r w:rsidRPr="00C17602">
        <w:rPr>
          <w:rFonts w:ascii="Times New Roman" w:hAnsi="Times New Roman" w:cs="Times New Roman"/>
          <w:sz w:val="24"/>
          <w:szCs w:val="24"/>
        </w:rPr>
        <w:t>The Census Bureau captures import and export information from administrative documents and through various automated collection programs. Documents may be lost, and data may be incorrectly keyed, coded, or recorded. Transactions may be included in a subsequent month’s statistics if received late.</w:t>
      </w:r>
    </w:p>
    <w:p w14:paraId="21ED21D6"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Low-</w:t>
      </w:r>
      <w:r>
        <w:rPr>
          <w:rFonts w:ascii="Times New Roman" w:hAnsi="Times New Roman" w:cs="Times New Roman"/>
          <w:b/>
          <w:bCs/>
          <w:sz w:val="24"/>
          <w:szCs w:val="24"/>
        </w:rPr>
        <w:t>V</w:t>
      </w:r>
      <w:r w:rsidRPr="00C17602">
        <w:rPr>
          <w:rFonts w:ascii="Times New Roman" w:hAnsi="Times New Roman" w:cs="Times New Roman"/>
          <w:b/>
          <w:bCs/>
          <w:sz w:val="24"/>
          <w:szCs w:val="24"/>
        </w:rPr>
        <w:t>alued Transactions</w:t>
      </w:r>
      <w:r w:rsidRPr="00C17602">
        <w:rPr>
          <w:rFonts w:ascii="Times New Roman" w:hAnsi="Times New Roman" w:cs="Times New Roman"/>
          <w:sz w:val="24"/>
          <w:szCs w:val="24"/>
        </w:rPr>
        <w:t>: The total values of transactions valued as much as or below $2,500 for exports and $2,000 ($250 for certain quota items) for imports are estimated for each country, using factors based on the ratios of low-valued shipments to individual country totals for past periods.</w:t>
      </w:r>
    </w:p>
    <w:p w14:paraId="2137D314" w14:textId="1201E925"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 xml:space="preserve">The Census Bureau recommends that data users incorporate this information into their analyses, as </w:t>
      </w:r>
      <w:proofErr w:type="spellStart"/>
      <w:r w:rsidRPr="00C17602">
        <w:rPr>
          <w:rFonts w:ascii="Times New Roman" w:hAnsi="Times New Roman" w:cs="Times New Roman"/>
          <w:sz w:val="24"/>
          <w:szCs w:val="24"/>
        </w:rPr>
        <w:t>nonsampling</w:t>
      </w:r>
      <w:proofErr w:type="spellEnd"/>
      <w:r w:rsidRPr="00C17602">
        <w:rPr>
          <w:rFonts w:ascii="Times New Roman" w:hAnsi="Times New Roman" w:cs="Times New Roman"/>
          <w:sz w:val="24"/>
          <w:szCs w:val="24"/>
        </w:rPr>
        <w:t xml:space="preserve"> errors could impact the conclusion drawn from the results. See </w:t>
      </w:r>
      <w:r>
        <w:rPr>
          <w:rFonts w:ascii="Times New Roman" w:hAnsi="Times New Roman" w:cs="Times New Roman"/>
          <w:sz w:val="24"/>
          <w:szCs w:val="24"/>
        </w:rPr>
        <w:t>“</w:t>
      </w:r>
      <w:hyperlink r:id="rId26" w:history="1">
        <w:r w:rsidRPr="00B70DD6">
          <w:rPr>
            <w:rStyle w:val="Hyperlink"/>
            <w:rFonts w:ascii="Times New Roman" w:hAnsi="Times New Roman" w:cs="Times New Roman"/>
            <w:sz w:val="24"/>
            <w:szCs w:val="24"/>
          </w:rPr>
          <w:t>U.S. Merchandise Trade Statistics: A Quality Profile</w:t>
        </w:r>
      </w:hyperlink>
      <w:r w:rsidRPr="00537879">
        <w:rPr>
          <w:rStyle w:val="Hyperlink"/>
          <w:rFonts w:ascii="Times New Roman" w:hAnsi="Times New Roman" w:cs="Times New Roman"/>
          <w:color w:val="auto"/>
          <w:sz w:val="24"/>
          <w:szCs w:val="24"/>
          <w:u w:val="none"/>
        </w:rPr>
        <w:t>”</w:t>
      </w:r>
      <w:r>
        <w:rPr>
          <w:rFonts w:ascii="Times New Roman" w:hAnsi="Times New Roman" w:cs="Times New Roman"/>
          <w:sz w:val="24"/>
          <w:szCs w:val="24"/>
        </w:rPr>
        <w:t xml:space="preserve"> (October 2014) </w:t>
      </w:r>
      <w:r w:rsidRPr="00C17602">
        <w:rPr>
          <w:rFonts w:ascii="Times New Roman" w:hAnsi="Times New Roman" w:cs="Times New Roman"/>
          <w:sz w:val="24"/>
          <w:szCs w:val="24"/>
        </w:rPr>
        <w:t>for a detailed discussion of errors affecting the goods data.</w:t>
      </w:r>
    </w:p>
    <w:p w14:paraId="75A972EA" w14:textId="77777777" w:rsidR="001705DB" w:rsidRPr="008F1C33" w:rsidRDefault="001705DB" w:rsidP="001705DB">
      <w:pPr>
        <w:spacing w:after="0"/>
        <w:ind w:left="-360"/>
        <w:rPr>
          <w:rFonts w:ascii="Arial" w:hAnsi="Arial" w:cs="Arial"/>
          <w:b/>
          <w:bCs/>
          <w:i/>
          <w:iCs/>
          <w:sz w:val="24"/>
          <w:szCs w:val="24"/>
        </w:rPr>
      </w:pPr>
      <w:r w:rsidRPr="008F1C33">
        <w:rPr>
          <w:rFonts w:ascii="Arial" w:hAnsi="Arial" w:cs="Arial"/>
          <w:b/>
          <w:bCs/>
          <w:i/>
          <w:iCs/>
          <w:sz w:val="24"/>
          <w:szCs w:val="24"/>
        </w:rPr>
        <w:t>Area Groupings</w:t>
      </w:r>
    </w:p>
    <w:p w14:paraId="00AA743F"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North America</w:t>
      </w:r>
      <w:r w:rsidRPr="00C17602">
        <w:rPr>
          <w:rFonts w:ascii="Times New Roman" w:hAnsi="Times New Roman" w:cs="Times New Roman"/>
          <w:sz w:val="24"/>
          <w:szCs w:val="24"/>
        </w:rPr>
        <w:t>: Canada, Mexico.</w:t>
      </w:r>
    </w:p>
    <w:p w14:paraId="263A4478"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sz w:val="24"/>
          <w:szCs w:val="24"/>
        </w:rPr>
        <w:t>Dominican Republic-Central America-United States Free Trade Agreement (</w:t>
      </w:r>
      <w:r w:rsidRPr="00C17602">
        <w:rPr>
          <w:rFonts w:ascii="Times New Roman" w:hAnsi="Times New Roman" w:cs="Times New Roman"/>
          <w:b/>
          <w:bCs/>
          <w:sz w:val="24"/>
          <w:szCs w:val="24"/>
        </w:rPr>
        <w:t>CAFTA-DR)</w:t>
      </w:r>
      <w:r w:rsidRPr="002F628E">
        <w:rPr>
          <w:rFonts w:ascii="Times New Roman" w:hAnsi="Times New Roman" w:cs="Times New Roman"/>
          <w:sz w:val="24"/>
          <w:szCs w:val="24"/>
        </w:rPr>
        <w:t>:</w:t>
      </w:r>
      <w:r w:rsidRPr="00C17602">
        <w:rPr>
          <w:rFonts w:ascii="Times New Roman" w:hAnsi="Times New Roman" w:cs="Times New Roman"/>
          <w:b/>
          <w:sz w:val="24"/>
          <w:szCs w:val="24"/>
        </w:rPr>
        <w:t xml:space="preserve"> </w:t>
      </w:r>
      <w:r w:rsidRPr="00C17602">
        <w:rPr>
          <w:rFonts w:ascii="Times New Roman" w:hAnsi="Times New Roman" w:cs="Times New Roman"/>
          <w:sz w:val="24"/>
          <w:szCs w:val="24"/>
        </w:rPr>
        <w:t>Costa Rica, Dominican Republic, El Salvador, Guatemala, Honduras, Nicaragua.</w:t>
      </w:r>
    </w:p>
    <w:p w14:paraId="2461702F"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Europe</w:t>
      </w:r>
      <w:r w:rsidRPr="00C17602">
        <w:rPr>
          <w:rFonts w:ascii="Times New Roman" w:hAnsi="Times New Roman" w:cs="Times New Roman"/>
          <w:sz w:val="24"/>
          <w:szCs w:val="24"/>
        </w:rPr>
        <w:t>: Albania, Andorra, Armenia, Austria, Azerbaijan, Belarus, Belgium, Bosnia and Herzegovina, Bulgaria, Croatia, Cyprus, Czech Republic, Denmark, Estonia, Faroe Islands, Finland, France, Georgia, Germany, Gibraltar, Greece, Hungary, Iceland, Ireland, Italy, Kazakhstan, Kosovo, Kyrgyzstan, Latvia, Liechtenstein, Lithuania, Luxembourg, Macedonia, Malta, Moldova, Monaco, Montenegro, Netherlands, Norway, Poland, Portugal, Romania, Russia, San Marino, Serbia, Slovakia, Slovenia, Spain, Svalbard-Jan Mayen Island, Sweden, Switzerland, Tajikistan, Turkey, Turkmenistan, Ukraine, United Kingdom, Uzbekistan, Vatican City.</w:t>
      </w:r>
    </w:p>
    <w:p w14:paraId="49199015"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European Union</w:t>
      </w:r>
      <w:r w:rsidRPr="00C17602">
        <w:rPr>
          <w:rFonts w:ascii="Times New Roman" w:hAnsi="Times New Roman" w:cs="Times New Roman"/>
          <w:sz w:val="24"/>
          <w:szCs w:val="24"/>
        </w:rPr>
        <w:t>: Austria, Belgium, Bulgaria, Croatia, Cyprus, Czech Republic, Denmark, Estonia, Finland, France, Germany, Greece, Hungary, Ireland, Italy, Latvia, Lithuania, Luxembourg, Malta, Netherlands, Poland, Portugal, Romania, Slovakia, Slovenia, Spain, Sweden, United Kingdom.</w:t>
      </w:r>
    </w:p>
    <w:p w14:paraId="74B93F05" w14:textId="77777777" w:rsidR="001705DB" w:rsidRPr="00C17602" w:rsidRDefault="001705DB" w:rsidP="001705DB">
      <w:pPr>
        <w:spacing w:after="120"/>
        <w:ind w:left="-360"/>
        <w:rPr>
          <w:rFonts w:ascii="Times New Roman" w:hAnsi="Times New Roman" w:cs="Times New Roman"/>
          <w:b/>
          <w:bCs/>
          <w:sz w:val="24"/>
          <w:szCs w:val="24"/>
        </w:rPr>
      </w:pPr>
      <w:r w:rsidRPr="00C17602">
        <w:rPr>
          <w:rFonts w:ascii="Times New Roman" w:hAnsi="Times New Roman" w:cs="Times New Roman"/>
          <w:b/>
          <w:bCs/>
          <w:sz w:val="24"/>
          <w:szCs w:val="24"/>
        </w:rPr>
        <w:t>Euro Area</w:t>
      </w:r>
      <w:r w:rsidRPr="00C17602">
        <w:rPr>
          <w:rFonts w:ascii="Times New Roman" w:hAnsi="Times New Roman" w:cs="Times New Roman"/>
          <w:sz w:val="24"/>
          <w:szCs w:val="24"/>
        </w:rPr>
        <w:t>: Austria, Belgium, Cyprus, Estonia, Finland, France, Germany, Greece, Ireland, Italy, Latvia, Lithuania, Luxembourg, Malta, Netherlands, Portugal, Slovakia, Slovenia, Spain.</w:t>
      </w:r>
    </w:p>
    <w:p w14:paraId="01B38C9F"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Pacific Rim</w:t>
      </w:r>
      <w:r w:rsidRPr="00C17602">
        <w:rPr>
          <w:rFonts w:ascii="Times New Roman" w:hAnsi="Times New Roman" w:cs="Times New Roman"/>
          <w:sz w:val="24"/>
          <w:szCs w:val="24"/>
        </w:rPr>
        <w:t>: Australia, Brunei, China, Hong Kong, Indonesia, Japan, Korea (South), Macau, Malaysia, New Zealand, Papua New Guinea, Philippines, Singapore, Taiwan.</w:t>
      </w:r>
    </w:p>
    <w:p w14:paraId="60264F28" w14:textId="77777777" w:rsidR="001705DB" w:rsidRPr="00015C89"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South/Central America</w:t>
      </w:r>
      <w:r w:rsidRPr="00C17602">
        <w:rPr>
          <w:rFonts w:ascii="Times New Roman" w:hAnsi="Times New Roman" w:cs="Times New Roman"/>
          <w:sz w:val="24"/>
          <w:szCs w:val="24"/>
        </w:rPr>
        <w:t xml:space="preserve">: Anguilla, Antigua and Barbuda, Argentina, Aruba, Bahamas, Barbados, Belize, Bermuda, Bolivia, Brazil, British Virgin Islands, Cayman Islands, Chile, Colombia, Costa Rica, Cuba, Curacao, Dominica, Dominican Republic, Ecuador, El Salvador, Falkland Islands (Islas Malvinas), French Guiana, Grenada, Guadeloupe, Guatemala, Guyana, Haiti, Honduras, Jamaica, Martinique, Montserrat, Netherlands Antilles, Nicaragua, Panama, Paraguay, Peru, </w:t>
      </w:r>
      <w:proofErr w:type="spellStart"/>
      <w:r w:rsidRPr="00C17602">
        <w:rPr>
          <w:rFonts w:ascii="Times New Roman" w:hAnsi="Times New Roman" w:cs="Times New Roman"/>
          <w:sz w:val="24"/>
          <w:szCs w:val="24"/>
        </w:rPr>
        <w:t>Sint</w:t>
      </w:r>
      <w:proofErr w:type="spellEnd"/>
      <w:r w:rsidRPr="00C17602">
        <w:rPr>
          <w:rFonts w:ascii="Times New Roman" w:hAnsi="Times New Roman" w:cs="Times New Roman"/>
          <w:sz w:val="24"/>
          <w:szCs w:val="24"/>
        </w:rPr>
        <w:t xml:space="preserve"> Maarten, St. Kitts and Nevis, St. Lucia, St. Vincent and the Grenadines, Suriname, Trinidad and Tobago, Turks and Caicos Islands, Uruguay, Venezuela.</w:t>
      </w:r>
    </w:p>
    <w:p w14:paraId="38B78F7F" w14:textId="77777777" w:rsidR="001705DB" w:rsidRPr="00015C89" w:rsidRDefault="001705DB" w:rsidP="001705DB">
      <w:pPr>
        <w:spacing w:after="120"/>
        <w:ind w:left="-360"/>
        <w:rPr>
          <w:rFonts w:ascii="Times New Roman" w:hAnsi="Times New Roman" w:cs="Times New Roman"/>
          <w:sz w:val="24"/>
          <w:szCs w:val="24"/>
        </w:rPr>
      </w:pPr>
      <w:r w:rsidRPr="00015C89">
        <w:rPr>
          <w:rFonts w:ascii="Times New Roman" w:hAnsi="Times New Roman" w:cs="Times New Roman"/>
          <w:b/>
          <w:bCs/>
          <w:sz w:val="24"/>
          <w:szCs w:val="24"/>
        </w:rPr>
        <w:t>Organization</w:t>
      </w:r>
      <w:r w:rsidRPr="00C17602">
        <w:rPr>
          <w:rFonts w:ascii="Times New Roman" w:hAnsi="Times New Roman" w:cs="Times New Roman"/>
          <w:b/>
          <w:bCs/>
          <w:sz w:val="24"/>
          <w:szCs w:val="24"/>
          <w:lang w:val="es-MX"/>
        </w:rPr>
        <w:t xml:space="preserve"> of</w:t>
      </w:r>
      <w:r w:rsidRPr="00015C89">
        <w:rPr>
          <w:rFonts w:ascii="Times New Roman" w:hAnsi="Times New Roman" w:cs="Times New Roman"/>
          <w:b/>
          <w:bCs/>
          <w:sz w:val="24"/>
          <w:szCs w:val="24"/>
        </w:rPr>
        <w:t xml:space="preserve"> Petroleum Exporting Countries</w:t>
      </w:r>
      <w:r w:rsidRPr="00C17602">
        <w:rPr>
          <w:rFonts w:ascii="Times New Roman" w:hAnsi="Times New Roman" w:cs="Times New Roman"/>
          <w:b/>
          <w:bCs/>
          <w:sz w:val="24"/>
          <w:szCs w:val="24"/>
          <w:lang w:val="es-MX"/>
        </w:rPr>
        <w:t xml:space="preserve"> (OPEC)</w:t>
      </w:r>
      <w:r w:rsidRPr="00C17602">
        <w:rPr>
          <w:rFonts w:ascii="Times New Roman" w:hAnsi="Times New Roman" w:cs="Times New Roman"/>
          <w:sz w:val="24"/>
          <w:szCs w:val="24"/>
          <w:lang w:val="es-MX"/>
        </w:rPr>
        <w:t>:</w:t>
      </w:r>
      <w:r w:rsidRPr="00015C89">
        <w:rPr>
          <w:rFonts w:ascii="Times New Roman" w:hAnsi="Times New Roman" w:cs="Times New Roman"/>
          <w:sz w:val="24"/>
          <w:szCs w:val="24"/>
        </w:rPr>
        <w:t xml:space="preserve"> Algeria</w:t>
      </w:r>
      <w:r w:rsidRPr="00C17602">
        <w:rPr>
          <w:rFonts w:ascii="Times New Roman" w:hAnsi="Times New Roman" w:cs="Times New Roman"/>
          <w:sz w:val="24"/>
          <w:szCs w:val="24"/>
          <w:lang w:val="es-MX"/>
        </w:rPr>
        <w:t>, Angola, Ecuador,</w:t>
      </w:r>
      <w:r w:rsidRPr="00015C89">
        <w:rPr>
          <w:rFonts w:ascii="Times New Roman" w:hAnsi="Times New Roman" w:cs="Times New Roman"/>
          <w:sz w:val="24"/>
          <w:szCs w:val="24"/>
        </w:rPr>
        <w:t xml:space="preserve"> </w:t>
      </w:r>
      <w:r>
        <w:rPr>
          <w:rFonts w:ascii="Times New Roman" w:hAnsi="Times New Roman" w:cs="Times New Roman"/>
          <w:sz w:val="24"/>
          <w:szCs w:val="24"/>
        </w:rPr>
        <w:t xml:space="preserve">Equatorial Guinea, </w:t>
      </w:r>
      <w:r w:rsidRPr="00015C89">
        <w:rPr>
          <w:rFonts w:ascii="Times New Roman" w:hAnsi="Times New Roman" w:cs="Times New Roman"/>
          <w:sz w:val="24"/>
          <w:szCs w:val="24"/>
        </w:rPr>
        <w:t>Gabon</w:t>
      </w:r>
      <w:r w:rsidRPr="00C17602">
        <w:rPr>
          <w:rFonts w:ascii="Times New Roman" w:hAnsi="Times New Roman" w:cs="Times New Roman"/>
          <w:sz w:val="24"/>
          <w:szCs w:val="24"/>
          <w:lang w:val="es-MX"/>
        </w:rPr>
        <w:t xml:space="preserve">, </w:t>
      </w:r>
      <w:r w:rsidRPr="00015C89">
        <w:rPr>
          <w:rFonts w:ascii="Times New Roman" w:hAnsi="Times New Roman" w:cs="Times New Roman"/>
          <w:sz w:val="24"/>
          <w:szCs w:val="24"/>
        </w:rPr>
        <w:t>Iran</w:t>
      </w:r>
      <w:r w:rsidRPr="00C17602">
        <w:rPr>
          <w:rFonts w:ascii="Times New Roman" w:hAnsi="Times New Roman" w:cs="Times New Roman"/>
          <w:sz w:val="24"/>
          <w:szCs w:val="24"/>
          <w:lang w:val="es-MX"/>
        </w:rPr>
        <w:t>, Iraq, Kuwait,</w:t>
      </w:r>
      <w:r w:rsidRPr="00015C89">
        <w:rPr>
          <w:rFonts w:ascii="Times New Roman" w:hAnsi="Times New Roman" w:cs="Times New Roman"/>
          <w:sz w:val="24"/>
          <w:szCs w:val="24"/>
          <w:lang w:val="smj-NO"/>
        </w:rPr>
        <w:t xml:space="preserve"> Libya</w:t>
      </w:r>
      <w:r w:rsidRPr="00C17602">
        <w:rPr>
          <w:rFonts w:ascii="Times New Roman" w:hAnsi="Times New Roman" w:cs="Times New Roman"/>
          <w:sz w:val="24"/>
          <w:szCs w:val="24"/>
          <w:lang w:val="es-MX"/>
        </w:rPr>
        <w:t>, Nigeria, Qatar,</w:t>
      </w:r>
      <w:r w:rsidRPr="00015C89">
        <w:rPr>
          <w:rFonts w:ascii="Times New Roman" w:hAnsi="Times New Roman" w:cs="Times New Roman"/>
          <w:sz w:val="24"/>
          <w:szCs w:val="24"/>
        </w:rPr>
        <w:t xml:space="preserve"> Saudi</w:t>
      </w:r>
      <w:r w:rsidRPr="00C17602">
        <w:rPr>
          <w:rFonts w:ascii="Times New Roman" w:hAnsi="Times New Roman" w:cs="Times New Roman"/>
          <w:sz w:val="24"/>
          <w:szCs w:val="24"/>
          <w:lang w:val="es-MX"/>
        </w:rPr>
        <w:t xml:space="preserve"> Arabia,</w:t>
      </w:r>
      <w:r w:rsidRPr="00015C89">
        <w:rPr>
          <w:rFonts w:ascii="Times New Roman" w:hAnsi="Times New Roman" w:cs="Times New Roman"/>
          <w:sz w:val="24"/>
          <w:szCs w:val="24"/>
        </w:rPr>
        <w:t xml:space="preserve"> United Arab Emirates</w:t>
      </w:r>
      <w:r w:rsidRPr="00C17602">
        <w:rPr>
          <w:rFonts w:ascii="Times New Roman" w:hAnsi="Times New Roman" w:cs="Times New Roman"/>
          <w:sz w:val="24"/>
          <w:szCs w:val="24"/>
          <w:lang w:val="es-MX"/>
        </w:rPr>
        <w:t>, Venezuela.</w:t>
      </w:r>
    </w:p>
    <w:p w14:paraId="7508BD12" w14:textId="77777777" w:rsidR="001705DB" w:rsidRPr="00C17602" w:rsidRDefault="001705DB" w:rsidP="001705DB">
      <w:pPr>
        <w:spacing w:after="120"/>
        <w:ind w:left="-360"/>
        <w:rPr>
          <w:rFonts w:ascii="Times New Roman" w:hAnsi="Times New Roman" w:cs="Times New Roman"/>
          <w:sz w:val="24"/>
          <w:szCs w:val="24"/>
          <w:lang w:val="es-MX"/>
        </w:rPr>
      </w:pPr>
      <w:r w:rsidRPr="00015C89">
        <w:rPr>
          <w:rFonts w:ascii="Times New Roman" w:hAnsi="Times New Roman" w:cs="Times New Roman"/>
          <w:b/>
          <w:bCs/>
          <w:sz w:val="24"/>
          <w:szCs w:val="24"/>
        </w:rPr>
        <w:t>Africa</w:t>
      </w:r>
      <w:r w:rsidRPr="00C17602">
        <w:rPr>
          <w:rFonts w:ascii="Times New Roman" w:hAnsi="Times New Roman" w:cs="Times New Roman"/>
          <w:sz w:val="24"/>
          <w:szCs w:val="24"/>
          <w:lang w:val="es-MX"/>
        </w:rPr>
        <w:t>:</w:t>
      </w:r>
      <w:r w:rsidRPr="00015C89">
        <w:rPr>
          <w:rFonts w:ascii="Times New Roman" w:hAnsi="Times New Roman" w:cs="Times New Roman"/>
          <w:sz w:val="24"/>
          <w:szCs w:val="24"/>
        </w:rPr>
        <w:t xml:space="preserve"> Algeria</w:t>
      </w:r>
      <w:r w:rsidRPr="00C17602">
        <w:rPr>
          <w:rFonts w:ascii="Times New Roman" w:hAnsi="Times New Roman" w:cs="Times New Roman"/>
          <w:sz w:val="24"/>
          <w:szCs w:val="24"/>
          <w:lang w:val="es-MX"/>
        </w:rPr>
        <w:t xml:space="preserve">, Angola, </w:t>
      </w:r>
      <w:r w:rsidRPr="00BA3B55">
        <w:rPr>
          <w:rFonts w:ascii="Times New Roman" w:hAnsi="Times New Roman" w:cs="Times New Roman"/>
          <w:sz w:val="24"/>
          <w:szCs w:val="24"/>
        </w:rPr>
        <w:t>Benin, Botswana, British Indian Ocean Territories, Burkina Faso, Burundi, Cabo Verde, Cameroon, Central African Republic, Chad, Comoros, Congo (Brazzaville), Congo (Kinshasa), Djibouti, Egypt, Equatorial Guinea, Eritrea, Ethiopia, French Southern and Antarctic Lands, Gabon, Gambia, Ghana, Guinea, Guinea-Bissau, Ivory Coast, Kenya, Lesotho, Liberia, Libya, Madagascar, Malawi, Mali, Mauritania, Mauritius, Mayotte, Morocco, Mozambique, Namibia, Niger, Nigeria, Reunion, Rwanda, St. Helena, Sao Tome and Principe, Senegal, Seychelles, Sierra Leone, Somalia, South Africa, South Sudan, Sudan, Swaziland, Tanzania, Togo, Tunisia, Uganda, Western Sahara, Zambia, Zimbabwe.</w:t>
      </w:r>
    </w:p>
    <w:p w14:paraId="6B4A55BF" w14:textId="77777777" w:rsidR="001705DB" w:rsidRPr="008F1C33" w:rsidRDefault="001705DB" w:rsidP="001705DB">
      <w:pPr>
        <w:spacing w:after="0"/>
        <w:ind w:left="-360"/>
        <w:rPr>
          <w:rFonts w:ascii="Arial" w:hAnsi="Arial" w:cs="Arial"/>
          <w:b/>
          <w:bCs/>
          <w:i/>
          <w:sz w:val="24"/>
          <w:szCs w:val="24"/>
        </w:rPr>
      </w:pPr>
      <w:r w:rsidRPr="008F1C33">
        <w:rPr>
          <w:rFonts w:ascii="Arial" w:hAnsi="Arial" w:cs="Arial"/>
          <w:b/>
          <w:bCs/>
          <w:i/>
          <w:sz w:val="24"/>
          <w:szCs w:val="24"/>
        </w:rPr>
        <w:t>Adjustments for Seasonal and Trading-Day Variations</w:t>
      </w:r>
    </w:p>
    <w:p w14:paraId="19985710" w14:textId="77777777" w:rsidR="00323FBE"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 xml:space="preserve">Goods are initially classified under the Harmonized Commodity Description and Coding System (Harmonized System), which is an internationally accepted standard for the commodity classification of traded goods. The Harmonized System describes and measures the characteristics of the goods and is the basis for the systems used in the United States: Schedule B for exports and Harmonized Tariff Schedule for imports. Combining trade into approximately 140 export and 140 import end-use categories makes it possible to examine goods according to their principal uses (see Exhibits 7 and 8). These categories are used as the basis for computing the seasonal and trading-day adjusted data. These adjusted data are then summed to the six end-use aggregates for publication (see Exhibit 6). </w:t>
      </w:r>
      <w:r w:rsidR="00323FBE" w:rsidRPr="00323FBE">
        <w:rPr>
          <w:rFonts w:ascii="Times New Roman" w:hAnsi="Times New Roman" w:cs="Times New Roman"/>
          <w:sz w:val="24"/>
          <w:szCs w:val="24"/>
        </w:rPr>
        <w:t>The Census Bureau provides these data to BEA for use in the NIPAs and in the U.S international transactions accounts (balance of payments accounts).</w:t>
      </w:r>
    </w:p>
    <w:p w14:paraId="2BB5A3BF" w14:textId="56085B03"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 xml:space="preserve">Exhibit 19 shows goods (Census </w:t>
      </w:r>
      <w:r>
        <w:rPr>
          <w:rFonts w:ascii="Times New Roman" w:hAnsi="Times New Roman" w:cs="Times New Roman"/>
          <w:sz w:val="24"/>
          <w:szCs w:val="24"/>
        </w:rPr>
        <w:t>b</w:t>
      </w:r>
      <w:r w:rsidRPr="00C17602">
        <w:rPr>
          <w:rFonts w:ascii="Times New Roman" w:hAnsi="Times New Roman" w:cs="Times New Roman"/>
          <w:sz w:val="24"/>
          <w:szCs w:val="24"/>
        </w:rPr>
        <w:t>asis) that are seasonally adjusted for selected countries and world areas. Unlike the commodity-based adjustments discussed above, these adjustments are developed and applied directly at the country and world area levels. For total exports and imports, data users should refer to the commodity-based totals shown in the other exhibits. The seasonally adjusted country and world area data will not sum to the seasonally adjusted commodity-based totals because the seasonally adjusted country and world area data and the commodity-based totals are derived from different aggregations of the export and import data and from different seasonal adjustment models. Data users should use caution drawing comparisons between the two sets of seasonally adjusted series.</w:t>
      </w:r>
    </w:p>
    <w:p w14:paraId="7257AFD9"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The seasonal adjustment procedure (X13-ARIMA-SEATS) is based on a model that estimates the monthly movements as percentages above or below the general level of series (unlike other methods that redistribute the actual series values over the calendar year). Because the data series for aircraft is highly variable, users studying data trends may wish to analyze trade in aircraft separately from other trade.</w:t>
      </w:r>
    </w:p>
    <w:p w14:paraId="29021364" w14:textId="77777777" w:rsidR="001705DB" w:rsidRPr="00F1113D" w:rsidRDefault="001705DB" w:rsidP="001705DB">
      <w:pPr>
        <w:spacing w:after="0"/>
        <w:ind w:left="-360"/>
        <w:rPr>
          <w:rFonts w:ascii="Arial" w:hAnsi="Arial" w:cs="Arial"/>
          <w:b/>
          <w:i/>
          <w:iCs/>
          <w:sz w:val="24"/>
          <w:szCs w:val="24"/>
        </w:rPr>
      </w:pPr>
      <w:r w:rsidRPr="00F1113D">
        <w:rPr>
          <w:rFonts w:ascii="Arial" w:hAnsi="Arial" w:cs="Arial"/>
          <w:b/>
          <w:i/>
          <w:iCs/>
          <w:sz w:val="24"/>
          <w:szCs w:val="24"/>
        </w:rPr>
        <w:t>A</w:t>
      </w:r>
      <w:r>
        <w:rPr>
          <w:rFonts w:ascii="Arial" w:hAnsi="Arial" w:cs="Arial"/>
          <w:b/>
          <w:i/>
          <w:iCs/>
          <w:sz w:val="24"/>
          <w:szCs w:val="24"/>
        </w:rPr>
        <w:t>djustments for</w:t>
      </w:r>
      <w:r w:rsidRPr="00F1113D">
        <w:rPr>
          <w:rFonts w:ascii="Arial" w:hAnsi="Arial" w:cs="Arial"/>
          <w:b/>
          <w:i/>
          <w:iCs/>
          <w:sz w:val="24"/>
          <w:szCs w:val="24"/>
        </w:rPr>
        <w:t xml:space="preserve"> P</w:t>
      </w:r>
      <w:r>
        <w:rPr>
          <w:rFonts w:ascii="Arial" w:hAnsi="Arial" w:cs="Arial"/>
          <w:b/>
          <w:i/>
          <w:iCs/>
          <w:sz w:val="24"/>
          <w:szCs w:val="24"/>
        </w:rPr>
        <w:t>rice</w:t>
      </w:r>
      <w:r w:rsidRPr="00F1113D">
        <w:rPr>
          <w:rFonts w:ascii="Arial" w:hAnsi="Arial" w:cs="Arial"/>
          <w:b/>
          <w:i/>
          <w:iCs/>
          <w:sz w:val="24"/>
          <w:szCs w:val="24"/>
        </w:rPr>
        <w:t xml:space="preserve"> C</w:t>
      </w:r>
      <w:r>
        <w:rPr>
          <w:rFonts w:ascii="Arial" w:hAnsi="Arial" w:cs="Arial"/>
          <w:b/>
          <w:i/>
          <w:iCs/>
          <w:sz w:val="24"/>
          <w:szCs w:val="24"/>
        </w:rPr>
        <w:t>hange</w:t>
      </w:r>
    </w:p>
    <w:p w14:paraId="4FAEAB09" w14:textId="5317BF31"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Data adjusted for seasonal variation on a real</w:t>
      </w:r>
      <w:r w:rsidR="00323FBE">
        <w:rPr>
          <w:rFonts w:ascii="Times New Roman" w:hAnsi="Times New Roman" w:cs="Times New Roman"/>
          <w:sz w:val="24"/>
          <w:szCs w:val="24"/>
        </w:rPr>
        <w:t>, or</w:t>
      </w:r>
      <w:r w:rsidRPr="00C17602">
        <w:rPr>
          <w:rFonts w:ascii="Times New Roman" w:hAnsi="Times New Roman" w:cs="Times New Roman"/>
          <w:sz w:val="24"/>
          <w:szCs w:val="24"/>
        </w:rPr>
        <w:t xml:space="preserve"> chained-dollar basis (20</w:t>
      </w:r>
      <w:r w:rsidR="00323FBE">
        <w:rPr>
          <w:rFonts w:ascii="Times New Roman" w:hAnsi="Times New Roman" w:cs="Times New Roman"/>
          <w:sz w:val="24"/>
          <w:szCs w:val="24"/>
        </w:rPr>
        <w:t>12</w:t>
      </w:r>
      <w:r w:rsidRPr="00C17602">
        <w:rPr>
          <w:rFonts w:ascii="Times New Roman" w:hAnsi="Times New Roman" w:cs="Times New Roman"/>
          <w:sz w:val="24"/>
          <w:szCs w:val="24"/>
        </w:rPr>
        <w:t xml:space="preserve"> </w:t>
      </w:r>
      <w:r w:rsidR="00323FBE">
        <w:rPr>
          <w:rFonts w:ascii="Times New Roman" w:hAnsi="Times New Roman" w:cs="Times New Roman"/>
          <w:sz w:val="24"/>
          <w:szCs w:val="24"/>
        </w:rPr>
        <w:t>reference</w:t>
      </w:r>
      <w:r w:rsidRPr="00C17602">
        <w:rPr>
          <w:rFonts w:ascii="Times New Roman" w:hAnsi="Times New Roman" w:cs="Times New Roman"/>
          <w:sz w:val="24"/>
          <w:szCs w:val="24"/>
        </w:rPr>
        <w:t xml:space="preserve"> year) are presented in Exhibits 10 and 11. This adjustment for price change is done using the Fisher chain-weighted methodology. The deflators are primarily based on the monthly price indexes published by the </w:t>
      </w:r>
      <w:r>
        <w:rPr>
          <w:rFonts w:ascii="Times New Roman" w:hAnsi="Times New Roman" w:cs="Times New Roman"/>
          <w:sz w:val="24"/>
          <w:szCs w:val="24"/>
        </w:rPr>
        <w:t>BLS</w:t>
      </w:r>
      <w:r w:rsidRPr="00C17602">
        <w:rPr>
          <w:rFonts w:ascii="Times New Roman" w:hAnsi="Times New Roman" w:cs="Times New Roman"/>
          <w:sz w:val="24"/>
          <w:szCs w:val="24"/>
        </w:rPr>
        <w:t xml:space="preserve"> using techniques developed for the NIPAs by BEA.</w:t>
      </w:r>
    </w:p>
    <w:p w14:paraId="7AE44B96" w14:textId="77777777" w:rsidR="001705DB" w:rsidRPr="00F1113D" w:rsidRDefault="001705DB" w:rsidP="001705DB">
      <w:pPr>
        <w:spacing w:after="0"/>
        <w:ind w:left="-360"/>
        <w:rPr>
          <w:rFonts w:ascii="Arial" w:hAnsi="Arial" w:cs="Arial"/>
          <w:b/>
          <w:bCs/>
          <w:i/>
          <w:iCs/>
          <w:sz w:val="24"/>
          <w:szCs w:val="24"/>
        </w:rPr>
      </w:pPr>
      <w:r w:rsidRPr="00F1113D">
        <w:rPr>
          <w:rFonts w:ascii="Arial" w:hAnsi="Arial" w:cs="Arial"/>
          <w:b/>
          <w:bCs/>
          <w:i/>
          <w:iCs/>
          <w:sz w:val="24"/>
          <w:szCs w:val="24"/>
        </w:rPr>
        <w:t>P</w:t>
      </w:r>
      <w:r>
        <w:rPr>
          <w:rFonts w:ascii="Arial" w:hAnsi="Arial" w:cs="Arial"/>
          <w:b/>
          <w:bCs/>
          <w:i/>
          <w:iCs/>
          <w:sz w:val="24"/>
          <w:szCs w:val="24"/>
        </w:rPr>
        <w:t>rincipal Commodities</w:t>
      </w:r>
    </w:p>
    <w:p w14:paraId="2334B919"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Goods data appearing in Exhibit 15 are classified in terms of the SITC Revision 4, with the exception of agricultural and manufactured goods. Agricultural goods are defined by the U.S. Department of Agriculture (USDA); they consist of non-marine food products and other products of agriculture that have not passed through complex processes of manufacture. Manufactured goods conform to the NAICS; they consist of goods that have been mechanically, physically, or chemically transformed. USDA agricultural goods and NAICS manufactured goods are not mutually exclusive categories.</w:t>
      </w:r>
    </w:p>
    <w:p w14:paraId="38ADB472" w14:textId="7AEF327D"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 xml:space="preserve">Re-exports are foreign merchandise entering the country as imports and then exported in substantially the same condition as when imported. Re-exports, </w:t>
      </w:r>
      <w:r w:rsidR="00323FBE">
        <w:rPr>
          <w:rFonts w:ascii="Times New Roman" w:hAnsi="Times New Roman" w:cs="Times New Roman"/>
          <w:sz w:val="24"/>
          <w:szCs w:val="24"/>
        </w:rPr>
        <w:t xml:space="preserve">which are </w:t>
      </w:r>
      <w:r w:rsidRPr="00C17602">
        <w:rPr>
          <w:rFonts w:ascii="Times New Roman" w:hAnsi="Times New Roman" w:cs="Times New Roman"/>
          <w:sz w:val="24"/>
          <w:szCs w:val="24"/>
        </w:rPr>
        <w:t>included in overall export totals, appear as separate line items in Exhibit 15.</w:t>
      </w:r>
    </w:p>
    <w:p w14:paraId="7AF05460" w14:textId="77777777" w:rsidR="001705DB" w:rsidRPr="00F1113D" w:rsidRDefault="001705DB" w:rsidP="001705DB">
      <w:pPr>
        <w:spacing w:after="0"/>
        <w:ind w:left="-360"/>
        <w:rPr>
          <w:rFonts w:ascii="Arial" w:hAnsi="Arial" w:cs="Arial"/>
          <w:b/>
          <w:bCs/>
          <w:i/>
          <w:iCs/>
          <w:sz w:val="24"/>
          <w:szCs w:val="24"/>
        </w:rPr>
      </w:pPr>
      <w:r w:rsidRPr="00F1113D">
        <w:rPr>
          <w:rFonts w:ascii="Arial" w:hAnsi="Arial" w:cs="Arial"/>
          <w:b/>
          <w:bCs/>
          <w:i/>
          <w:iCs/>
          <w:sz w:val="24"/>
          <w:szCs w:val="24"/>
        </w:rPr>
        <w:t>A</w:t>
      </w:r>
      <w:r>
        <w:rPr>
          <w:rFonts w:ascii="Arial" w:hAnsi="Arial" w:cs="Arial"/>
          <w:b/>
          <w:bCs/>
          <w:i/>
          <w:iCs/>
          <w:sz w:val="24"/>
          <w:szCs w:val="24"/>
        </w:rPr>
        <w:t>dvanced Technology Products</w:t>
      </w:r>
    </w:p>
    <w:p w14:paraId="70E1D458"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About 500 of some 22,000 Schedule B and Harmonized Tariff Schedule classification codes used in reporting U.S. merchandise trade are identified as "advanced technology" codes, and they meet the following criteria:</w:t>
      </w:r>
    </w:p>
    <w:p w14:paraId="229C1C59" w14:textId="77777777" w:rsidR="001705DB" w:rsidRPr="00C17602" w:rsidRDefault="001705DB" w:rsidP="001705DB">
      <w:pPr>
        <w:numPr>
          <w:ilvl w:val="0"/>
          <w:numId w:val="15"/>
        </w:numPr>
        <w:spacing w:after="120"/>
        <w:rPr>
          <w:rFonts w:ascii="Times New Roman" w:hAnsi="Times New Roman" w:cs="Times New Roman"/>
          <w:sz w:val="24"/>
          <w:szCs w:val="24"/>
        </w:rPr>
      </w:pPr>
      <w:r w:rsidRPr="00C17602">
        <w:rPr>
          <w:rFonts w:ascii="Times New Roman" w:hAnsi="Times New Roman" w:cs="Times New Roman"/>
          <w:sz w:val="24"/>
          <w:szCs w:val="24"/>
        </w:rPr>
        <w:t>The code contains products whose technology is from a recognized high technology field (e.g., biotechnology).</w:t>
      </w:r>
    </w:p>
    <w:p w14:paraId="59F836DB" w14:textId="77777777" w:rsidR="001705DB" w:rsidRPr="00C17602" w:rsidRDefault="001705DB" w:rsidP="001705DB">
      <w:pPr>
        <w:numPr>
          <w:ilvl w:val="0"/>
          <w:numId w:val="15"/>
        </w:numPr>
        <w:spacing w:after="120"/>
        <w:rPr>
          <w:rFonts w:ascii="Times New Roman" w:hAnsi="Times New Roman" w:cs="Times New Roman"/>
          <w:sz w:val="24"/>
          <w:szCs w:val="24"/>
        </w:rPr>
      </w:pPr>
      <w:r w:rsidRPr="00C17602">
        <w:rPr>
          <w:rFonts w:ascii="Times New Roman" w:hAnsi="Times New Roman" w:cs="Times New Roman"/>
          <w:sz w:val="24"/>
          <w:szCs w:val="24"/>
        </w:rPr>
        <w:t>These products represent leading edge technology in that field.</w:t>
      </w:r>
    </w:p>
    <w:p w14:paraId="225D5610" w14:textId="77777777" w:rsidR="001705DB" w:rsidRPr="00C17602" w:rsidRDefault="001705DB" w:rsidP="001705DB">
      <w:pPr>
        <w:numPr>
          <w:ilvl w:val="0"/>
          <w:numId w:val="15"/>
        </w:numPr>
        <w:spacing w:after="120"/>
        <w:rPr>
          <w:rFonts w:ascii="Times New Roman" w:hAnsi="Times New Roman" w:cs="Times New Roman"/>
          <w:sz w:val="24"/>
          <w:szCs w:val="24"/>
        </w:rPr>
      </w:pPr>
      <w:r w:rsidRPr="00C17602">
        <w:rPr>
          <w:rFonts w:ascii="Times New Roman" w:hAnsi="Times New Roman" w:cs="Times New Roman"/>
          <w:sz w:val="24"/>
          <w:szCs w:val="24"/>
        </w:rPr>
        <w:t>Such products constitute a significant part of all items covered in the selected classification code.</w:t>
      </w:r>
    </w:p>
    <w:p w14:paraId="71BB69DE"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The aggregation of the goods results in a measure of advanced technology trade that appears in Exhibits 16 and 16a. This product- and commodity-based measure of advanced technology differs from broader NAICS-based measures, which include all goods produced by a particular industry group, regardless of the level of technology embodied in the goods.</w:t>
      </w:r>
    </w:p>
    <w:p w14:paraId="3DD9637B" w14:textId="77777777" w:rsidR="001705DB" w:rsidRPr="001C38C3" w:rsidRDefault="001705DB" w:rsidP="001705DB">
      <w:pPr>
        <w:spacing w:after="0"/>
        <w:ind w:left="-360"/>
        <w:rPr>
          <w:rFonts w:ascii="Arial" w:hAnsi="Arial" w:cs="Arial"/>
          <w:b/>
          <w:sz w:val="24"/>
          <w:szCs w:val="24"/>
        </w:rPr>
      </w:pPr>
      <w:r w:rsidRPr="001C38C3">
        <w:rPr>
          <w:rFonts w:ascii="Arial" w:hAnsi="Arial" w:cs="Arial"/>
          <w:b/>
          <w:sz w:val="24"/>
          <w:szCs w:val="24"/>
        </w:rPr>
        <w:t>G</w:t>
      </w:r>
      <w:r>
        <w:rPr>
          <w:rFonts w:ascii="Arial" w:hAnsi="Arial" w:cs="Arial"/>
          <w:b/>
          <w:sz w:val="24"/>
          <w:szCs w:val="24"/>
        </w:rPr>
        <w:t>oods</w:t>
      </w:r>
      <w:r w:rsidRPr="001C38C3">
        <w:rPr>
          <w:rFonts w:ascii="Arial" w:hAnsi="Arial" w:cs="Arial"/>
          <w:b/>
          <w:sz w:val="24"/>
          <w:szCs w:val="24"/>
        </w:rPr>
        <w:t xml:space="preserve"> (B</w:t>
      </w:r>
      <w:r>
        <w:rPr>
          <w:rFonts w:ascii="Arial" w:hAnsi="Arial" w:cs="Arial"/>
          <w:b/>
          <w:sz w:val="24"/>
          <w:szCs w:val="24"/>
        </w:rPr>
        <w:t>alance of Payments Basis</w:t>
      </w:r>
      <w:r w:rsidRPr="001C38C3">
        <w:rPr>
          <w:rFonts w:ascii="Arial" w:hAnsi="Arial" w:cs="Arial"/>
          <w:b/>
          <w:sz w:val="24"/>
          <w:szCs w:val="24"/>
        </w:rPr>
        <w:t xml:space="preserve">) </w:t>
      </w:r>
      <w:r>
        <w:rPr>
          <w:rFonts w:ascii="Arial" w:hAnsi="Arial" w:cs="Arial"/>
          <w:b/>
          <w:sz w:val="24"/>
          <w:szCs w:val="24"/>
        </w:rPr>
        <w:t>and Services</w:t>
      </w:r>
    </w:p>
    <w:p w14:paraId="57CA4D02" w14:textId="7EBF74AB"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 xml:space="preserve">Quarterly and annual statistics for goods on a balance of payments (BOP) basis and for services are included in the U.S. </w:t>
      </w:r>
      <w:r>
        <w:rPr>
          <w:rFonts w:ascii="Times New Roman" w:hAnsi="Times New Roman" w:cs="Times New Roman"/>
          <w:sz w:val="24"/>
          <w:szCs w:val="24"/>
        </w:rPr>
        <w:t>i</w:t>
      </w:r>
      <w:r w:rsidRPr="00C17602">
        <w:rPr>
          <w:rFonts w:ascii="Times New Roman" w:hAnsi="Times New Roman" w:cs="Times New Roman"/>
          <w:sz w:val="24"/>
          <w:szCs w:val="24"/>
        </w:rPr>
        <w:t xml:space="preserve">nternational </w:t>
      </w:r>
      <w:r>
        <w:rPr>
          <w:rFonts w:ascii="Times New Roman" w:hAnsi="Times New Roman" w:cs="Times New Roman"/>
          <w:sz w:val="24"/>
          <w:szCs w:val="24"/>
        </w:rPr>
        <w:t>t</w:t>
      </w:r>
      <w:r w:rsidRPr="00C17602">
        <w:rPr>
          <w:rFonts w:ascii="Times New Roman" w:hAnsi="Times New Roman" w:cs="Times New Roman"/>
          <w:sz w:val="24"/>
          <w:szCs w:val="24"/>
        </w:rPr>
        <w:t xml:space="preserve">ransactions </w:t>
      </w:r>
      <w:r>
        <w:rPr>
          <w:rFonts w:ascii="Times New Roman" w:hAnsi="Times New Roman" w:cs="Times New Roman"/>
          <w:sz w:val="24"/>
          <w:szCs w:val="24"/>
        </w:rPr>
        <w:t>a</w:t>
      </w:r>
      <w:r w:rsidRPr="00C17602">
        <w:rPr>
          <w:rFonts w:ascii="Times New Roman" w:hAnsi="Times New Roman" w:cs="Times New Roman"/>
          <w:sz w:val="24"/>
          <w:szCs w:val="24"/>
        </w:rPr>
        <w:t xml:space="preserve">ccounts (ITAs), which are published by BEA in news releases in March, June, September, and December and in the </w:t>
      </w:r>
      <w:hyperlink r:id="rId27" w:history="1">
        <w:r w:rsidRPr="00C17602">
          <w:rPr>
            <w:rStyle w:val="Hyperlink"/>
            <w:rFonts w:ascii="Times New Roman" w:hAnsi="Times New Roman" w:cs="Times New Roman"/>
            <w:i/>
            <w:sz w:val="24"/>
            <w:szCs w:val="24"/>
          </w:rPr>
          <w:t>Survey of Current Business</w:t>
        </w:r>
      </w:hyperlink>
      <w:r w:rsidRPr="00C17602">
        <w:rPr>
          <w:rFonts w:ascii="Times New Roman" w:hAnsi="Times New Roman" w:cs="Times New Roman"/>
          <w:sz w:val="24"/>
          <w:szCs w:val="24"/>
        </w:rPr>
        <w:t xml:space="preserve"> in the January, April, July, and October issues. The next release of the ITAs is scheduled for </w:t>
      </w:r>
      <w:r w:rsidR="009514AF">
        <w:rPr>
          <w:rFonts w:ascii="Times New Roman" w:hAnsi="Times New Roman" w:cs="Times New Roman"/>
          <w:sz w:val="24"/>
          <w:szCs w:val="24"/>
        </w:rPr>
        <w:t>September 19</w:t>
      </w:r>
      <w:r>
        <w:rPr>
          <w:rFonts w:ascii="Times New Roman" w:hAnsi="Times New Roman" w:cs="Times New Roman"/>
          <w:sz w:val="24"/>
          <w:szCs w:val="24"/>
        </w:rPr>
        <w:t>, 2018</w:t>
      </w:r>
      <w:r w:rsidRPr="00C17602">
        <w:rPr>
          <w:rFonts w:ascii="Times New Roman" w:hAnsi="Times New Roman" w:cs="Times New Roman"/>
          <w:sz w:val="24"/>
          <w:szCs w:val="24"/>
        </w:rPr>
        <w:t>.</w:t>
      </w:r>
    </w:p>
    <w:p w14:paraId="06F93214" w14:textId="25C87CBB"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 xml:space="preserve">In addition, BEA releases detailed annual </w:t>
      </w:r>
      <w:hyperlink r:id="rId28" w:anchor="reqid=62&amp;step=9&amp;isuri=1&amp;6210=4" w:history="1">
        <w:r>
          <w:rPr>
            <w:rStyle w:val="Hyperlink"/>
            <w:rFonts w:ascii="Times New Roman" w:hAnsi="Times New Roman" w:cs="Times New Roman"/>
            <w:sz w:val="24"/>
            <w:szCs w:val="24"/>
          </w:rPr>
          <w:t>i</w:t>
        </w:r>
        <w:r w:rsidRPr="00C17602">
          <w:rPr>
            <w:rStyle w:val="Hyperlink"/>
            <w:rFonts w:ascii="Times New Roman" w:hAnsi="Times New Roman" w:cs="Times New Roman"/>
            <w:sz w:val="24"/>
            <w:szCs w:val="24"/>
          </w:rPr>
          <w:t xml:space="preserve">nternational </w:t>
        </w:r>
        <w:r>
          <w:rPr>
            <w:rStyle w:val="Hyperlink"/>
            <w:rFonts w:ascii="Times New Roman" w:hAnsi="Times New Roman" w:cs="Times New Roman"/>
            <w:sz w:val="24"/>
            <w:szCs w:val="24"/>
          </w:rPr>
          <w:t>s</w:t>
        </w:r>
        <w:r w:rsidRPr="00C17602">
          <w:rPr>
            <w:rStyle w:val="Hyperlink"/>
            <w:rFonts w:ascii="Times New Roman" w:hAnsi="Times New Roman" w:cs="Times New Roman"/>
            <w:sz w:val="24"/>
            <w:szCs w:val="24"/>
          </w:rPr>
          <w:t>ervices</w:t>
        </w:r>
      </w:hyperlink>
      <w:r w:rsidRPr="00C17602">
        <w:rPr>
          <w:rFonts w:ascii="Times New Roman" w:hAnsi="Times New Roman" w:cs="Times New Roman"/>
          <w:sz w:val="24"/>
          <w:szCs w:val="24"/>
        </w:rPr>
        <w:t xml:space="preserve"> statistics, which consist of statistics on trade in services and on services supplied through affiliates of multinational enterprises. The statistics provide detail on U.S. trade in services by type and by country and area and </w:t>
      </w:r>
      <w:r>
        <w:rPr>
          <w:rFonts w:ascii="Times New Roman" w:hAnsi="Times New Roman" w:cs="Times New Roman"/>
          <w:sz w:val="24"/>
          <w:szCs w:val="24"/>
        </w:rPr>
        <w:t xml:space="preserve">detail </w:t>
      </w:r>
      <w:r w:rsidRPr="00C17602">
        <w:rPr>
          <w:rFonts w:ascii="Times New Roman" w:hAnsi="Times New Roman" w:cs="Times New Roman"/>
          <w:sz w:val="24"/>
          <w:szCs w:val="24"/>
        </w:rPr>
        <w:t>on services supplied through affiliates by industry and by country and area.</w:t>
      </w:r>
    </w:p>
    <w:p w14:paraId="2102CF68" w14:textId="77777777" w:rsidR="001705DB" w:rsidRPr="00F1113D" w:rsidRDefault="001705DB" w:rsidP="001705DB">
      <w:pPr>
        <w:spacing w:after="0"/>
        <w:ind w:left="-360"/>
        <w:rPr>
          <w:rFonts w:ascii="Arial" w:hAnsi="Arial" w:cs="Arial"/>
          <w:b/>
          <w:bCs/>
          <w:i/>
          <w:iCs/>
          <w:sz w:val="24"/>
          <w:szCs w:val="24"/>
        </w:rPr>
      </w:pPr>
      <w:r w:rsidRPr="00F1113D">
        <w:rPr>
          <w:rFonts w:ascii="Arial" w:hAnsi="Arial" w:cs="Arial"/>
          <w:b/>
          <w:bCs/>
          <w:i/>
          <w:iCs/>
          <w:sz w:val="24"/>
          <w:szCs w:val="24"/>
        </w:rPr>
        <w:t>G</w:t>
      </w:r>
      <w:r>
        <w:rPr>
          <w:rFonts w:ascii="Arial" w:hAnsi="Arial" w:cs="Arial"/>
          <w:b/>
          <w:bCs/>
          <w:i/>
          <w:iCs/>
          <w:sz w:val="24"/>
          <w:szCs w:val="24"/>
        </w:rPr>
        <w:t>oods</w:t>
      </w:r>
      <w:r w:rsidRPr="00F1113D">
        <w:rPr>
          <w:rFonts w:ascii="Arial" w:hAnsi="Arial" w:cs="Arial"/>
          <w:b/>
          <w:bCs/>
          <w:i/>
          <w:iCs/>
          <w:sz w:val="24"/>
          <w:szCs w:val="24"/>
        </w:rPr>
        <w:t xml:space="preserve"> (B</w:t>
      </w:r>
      <w:r>
        <w:rPr>
          <w:rFonts w:ascii="Arial" w:hAnsi="Arial" w:cs="Arial"/>
          <w:b/>
          <w:bCs/>
          <w:i/>
          <w:iCs/>
          <w:sz w:val="24"/>
          <w:szCs w:val="24"/>
        </w:rPr>
        <w:t>alance of Payments Basis)</w:t>
      </w:r>
    </w:p>
    <w:p w14:paraId="03DB8DB8" w14:textId="13A6156B"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 xml:space="preserve">Goods on a Census basis are adjusted by BEA to a BOP basis to align the data with the concepts and definitions used to prepare the international and national economic accounts. These adjustments, which are applied separately to exports and imports, are necessary to supplement coverage of the Census data, to eliminate duplication of transactions recorded elsewhere in the international accounts, and to value transactions at market prices. They include both </w:t>
      </w:r>
      <w:r w:rsidRPr="00C17602">
        <w:rPr>
          <w:rFonts w:ascii="Times New Roman" w:hAnsi="Times New Roman" w:cs="Times New Roman"/>
          <w:i/>
          <w:sz w:val="24"/>
          <w:szCs w:val="24"/>
        </w:rPr>
        <w:t>additions</w:t>
      </w:r>
      <w:r w:rsidRPr="00C17602">
        <w:rPr>
          <w:rFonts w:ascii="Times New Roman" w:hAnsi="Times New Roman" w:cs="Times New Roman"/>
          <w:sz w:val="24"/>
          <w:szCs w:val="24"/>
        </w:rPr>
        <w:t xml:space="preserve"> to and </w:t>
      </w:r>
      <w:r w:rsidRPr="00C17602">
        <w:rPr>
          <w:rFonts w:ascii="Times New Roman" w:hAnsi="Times New Roman" w:cs="Times New Roman"/>
          <w:i/>
          <w:sz w:val="24"/>
          <w:szCs w:val="24"/>
        </w:rPr>
        <w:t>deductions</w:t>
      </w:r>
      <w:r w:rsidRPr="00C17602">
        <w:rPr>
          <w:rFonts w:ascii="Times New Roman" w:hAnsi="Times New Roman" w:cs="Times New Roman"/>
          <w:sz w:val="24"/>
          <w:szCs w:val="24"/>
        </w:rPr>
        <w:t xml:space="preserve"> from goods on a Census basis and are presented in this release as </w:t>
      </w:r>
      <w:r w:rsidRPr="00C17602">
        <w:rPr>
          <w:rFonts w:ascii="Times New Roman" w:hAnsi="Times New Roman" w:cs="Times New Roman"/>
          <w:i/>
          <w:sz w:val="24"/>
          <w:szCs w:val="24"/>
        </w:rPr>
        <w:t>net adjustments</w:t>
      </w:r>
      <w:r w:rsidRPr="00C17602">
        <w:rPr>
          <w:rFonts w:ascii="Times New Roman" w:hAnsi="Times New Roman" w:cs="Times New Roman"/>
          <w:sz w:val="24"/>
          <w:szCs w:val="24"/>
        </w:rPr>
        <w:t xml:space="preserve">. Adjustments that exhibit significant seasonal patterns are seasonally adjusted. BEA also publishes more detailed quarterly and annual statistics for </w:t>
      </w:r>
      <w:r w:rsidRPr="00C17602">
        <w:rPr>
          <w:rFonts w:ascii="Times New Roman" w:hAnsi="Times New Roman" w:cs="Times New Roman"/>
          <w:i/>
          <w:sz w:val="24"/>
          <w:szCs w:val="24"/>
        </w:rPr>
        <w:t>net adjustments</w:t>
      </w:r>
      <w:r w:rsidRPr="00C17602">
        <w:rPr>
          <w:rFonts w:ascii="Times New Roman" w:hAnsi="Times New Roman" w:cs="Times New Roman"/>
          <w:sz w:val="24"/>
          <w:szCs w:val="24"/>
        </w:rPr>
        <w:t xml:space="preserve"> in </w:t>
      </w:r>
      <w:hyperlink r:id="rId29" w:history="1">
        <w:r w:rsidRPr="00C17602">
          <w:rPr>
            <w:rStyle w:val="Hyperlink"/>
            <w:rFonts w:ascii="Times New Roman" w:hAnsi="Times New Roman" w:cs="Times New Roman"/>
            <w:sz w:val="24"/>
            <w:szCs w:val="24"/>
          </w:rPr>
          <w:t>ITA Table 2.4. U.S. International Trade in Goods, Balance of Payments Adjustments</w:t>
        </w:r>
      </w:hyperlink>
      <w:r w:rsidRPr="00C17602">
        <w:rPr>
          <w:rFonts w:ascii="Times New Roman" w:hAnsi="Times New Roman" w:cs="Times New Roman"/>
          <w:sz w:val="24"/>
          <w:szCs w:val="24"/>
        </w:rPr>
        <w:t xml:space="preserve"> and in the January, April, July, and October issues of the </w:t>
      </w:r>
      <w:r w:rsidRPr="00C17602">
        <w:rPr>
          <w:rFonts w:ascii="Times New Roman" w:hAnsi="Times New Roman" w:cs="Times New Roman"/>
          <w:i/>
          <w:sz w:val="24"/>
          <w:szCs w:val="24"/>
        </w:rPr>
        <w:t>Survey of Current Business</w:t>
      </w:r>
      <w:r w:rsidRPr="00C17602">
        <w:rPr>
          <w:rFonts w:ascii="Times New Roman" w:hAnsi="Times New Roman" w:cs="Times New Roman"/>
          <w:sz w:val="24"/>
          <w:szCs w:val="24"/>
        </w:rPr>
        <w:t>.</w:t>
      </w:r>
    </w:p>
    <w:p w14:paraId="18D88385"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The export adjustments include:</w:t>
      </w:r>
    </w:p>
    <w:p w14:paraId="65653822"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Gold exports, nonmonetary</w:t>
      </w:r>
      <w:r w:rsidRPr="002F628E">
        <w:rPr>
          <w:rFonts w:ascii="Times New Roman" w:hAnsi="Times New Roman" w:cs="Times New Roman"/>
          <w:bCs/>
          <w:sz w:val="24"/>
          <w:szCs w:val="24"/>
        </w:rPr>
        <w:t xml:space="preserve"> - Thi</w:t>
      </w:r>
      <w:r w:rsidRPr="00C17602">
        <w:rPr>
          <w:rFonts w:ascii="Times New Roman" w:hAnsi="Times New Roman" w:cs="Times New Roman"/>
          <w:bCs/>
          <w:sz w:val="24"/>
          <w:szCs w:val="24"/>
        </w:rPr>
        <w:t>s</w:t>
      </w:r>
      <w:r w:rsidRPr="00C17602">
        <w:rPr>
          <w:rFonts w:ascii="Times New Roman" w:hAnsi="Times New Roman" w:cs="Times New Roman"/>
          <w:b/>
          <w:bCs/>
          <w:sz w:val="24"/>
          <w:szCs w:val="24"/>
        </w:rPr>
        <w:t xml:space="preserve"> </w:t>
      </w:r>
      <w:r w:rsidRPr="00C17602">
        <w:rPr>
          <w:rFonts w:ascii="Times New Roman" w:hAnsi="Times New Roman" w:cs="Times New Roman"/>
          <w:bCs/>
          <w:i/>
          <w:sz w:val="24"/>
          <w:szCs w:val="24"/>
        </w:rPr>
        <w:t>addition</w:t>
      </w:r>
      <w:r w:rsidRPr="00C17602">
        <w:rPr>
          <w:rFonts w:ascii="Times New Roman" w:hAnsi="Times New Roman" w:cs="Times New Roman"/>
          <w:bCs/>
          <w:sz w:val="24"/>
          <w:szCs w:val="24"/>
        </w:rPr>
        <w:t xml:space="preserve"> is made for gold that is purchased by foreign official agencies from private dealers in the United States and held at the Federal Reserve Bank of New York. The Census data only include gold that leaves the U.S. customs territory.</w:t>
      </w:r>
    </w:p>
    <w:p w14:paraId="7727538E" w14:textId="77777777" w:rsidR="001705DB" w:rsidRPr="00C17602" w:rsidRDefault="001705DB" w:rsidP="001705DB">
      <w:pPr>
        <w:spacing w:after="120"/>
        <w:ind w:left="-360"/>
        <w:rPr>
          <w:rFonts w:ascii="Times New Roman" w:hAnsi="Times New Roman" w:cs="Times New Roman"/>
          <w:bCs/>
          <w:sz w:val="24"/>
          <w:szCs w:val="24"/>
        </w:rPr>
      </w:pPr>
      <w:r w:rsidRPr="00C17602">
        <w:rPr>
          <w:rFonts w:ascii="Times New Roman" w:hAnsi="Times New Roman" w:cs="Times New Roman"/>
          <w:b/>
          <w:bCs/>
          <w:sz w:val="24"/>
          <w:szCs w:val="24"/>
        </w:rPr>
        <w:t>Goods procured in U.S. ports by foreign carriers</w:t>
      </w:r>
      <w:r w:rsidRPr="002F628E">
        <w:rPr>
          <w:rFonts w:ascii="Times New Roman" w:hAnsi="Times New Roman" w:cs="Times New Roman"/>
          <w:bCs/>
          <w:sz w:val="24"/>
          <w:szCs w:val="24"/>
        </w:rPr>
        <w:t xml:space="preserve"> - </w:t>
      </w:r>
      <w:r w:rsidRPr="002F628E">
        <w:rPr>
          <w:rFonts w:ascii="Times New Roman" w:hAnsi="Times New Roman" w:cs="Times New Roman"/>
          <w:sz w:val="24"/>
          <w:szCs w:val="24"/>
        </w:rPr>
        <w:t>T</w:t>
      </w:r>
      <w:r w:rsidRPr="00C17602">
        <w:rPr>
          <w:rFonts w:ascii="Times New Roman" w:hAnsi="Times New Roman" w:cs="Times New Roman"/>
          <w:bCs/>
          <w:sz w:val="24"/>
          <w:szCs w:val="24"/>
        </w:rPr>
        <w:t xml:space="preserve">his </w:t>
      </w:r>
      <w:r w:rsidRPr="00C17602">
        <w:rPr>
          <w:rFonts w:ascii="Times New Roman" w:hAnsi="Times New Roman" w:cs="Times New Roman"/>
          <w:bCs/>
          <w:i/>
          <w:sz w:val="24"/>
          <w:szCs w:val="24"/>
        </w:rPr>
        <w:t>addition</w:t>
      </w:r>
      <w:r w:rsidRPr="00C17602">
        <w:rPr>
          <w:rFonts w:ascii="Times New Roman" w:hAnsi="Times New Roman" w:cs="Times New Roman"/>
          <w:bCs/>
          <w:sz w:val="24"/>
          <w:szCs w:val="24"/>
        </w:rPr>
        <w:t xml:space="preserve"> is made for foreign air and ocean carriers’ fuel purchases in U.S. ports.</w:t>
      </w:r>
    </w:p>
    <w:p w14:paraId="3ABD5B4F" w14:textId="77777777" w:rsidR="001705DB" w:rsidRPr="00C17602" w:rsidRDefault="001705DB" w:rsidP="001705DB">
      <w:pPr>
        <w:spacing w:after="120"/>
        <w:ind w:left="-360"/>
        <w:rPr>
          <w:rFonts w:ascii="Times New Roman" w:hAnsi="Times New Roman" w:cs="Times New Roman"/>
          <w:bCs/>
          <w:sz w:val="24"/>
          <w:szCs w:val="24"/>
        </w:rPr>
      </w:pPr>
      <w:r w:rsidRPr="00C17602">
        <w:rPr>
          <w:rFonts w:ascii="Times New Roman" w:hAnsi="Times New Roman" w:cs="Times New Roman"/>
          <w:b/>
          <w:bCs/>
          <w:sz w:val="24"/>
          <w:szCs w:val="24"/>
        </w:rPr>
        <w:t xml:space="preserve">Net exports of goods under </w:t>
      </w:r>
      <w:proofErr w:type="spellStart"/>
      <w:r w:rsidRPr="00C17602">
        <w:rPr>
          <w:rFonts w:ascii="Times New Roman" w:hAnsi="Times New Roman" w:cs="Times New Roman"/>
          <w:b/>
          <w:bCs/>
          <w:sz w:val="24"/>
          <w:szCs w:val="24"/>
        </w:rPr>
        <w:t>merchanting</w:t>
      </w:r>
      <w:proofErr w:type="spellEnd"/>
      <w:r w:rsidRPr="002F628E">
        <w:rPr>
          <w:rFonts w:ascii="Times New Roman" w:hAnsi="Times New Roman" w:cs="Times New Roman"/>
          <w:bCs/>
          <w:sz w:val="24"/>
          <w:szCs w:val="24"/>
        </w:rPr>
        <w:t xml:space="preserve"> - T</w:t>
      </w:r>
      <w:r w:rsidRPr="00C17602">
        <w:rPr>
          <w:rFonts w:ascii="Times New Roman" w:hAnsi="Times New Roman" w:cs="Times New Roman"/>
          <w:bCs/>
          <w:sz w:val="24"/>
          <w:szCs w:val="24"/>
        </w:rPr>
        <w:t xml:space="preserve">his </w:t>
      </w:r>
      <w:r w:rsidRPr="00C17602">
        <w:rPr>
          <w:rFonts w:ascii="Times New Roman" w:hAnsi="Times New Roman" w:cs="Times New Roman"/>
          <w:bCs/>
          <w:i/>
          <w:sz w:val="24"/>
          <w:szCs w:val="24"/>
        </w:rPr>
        <w:t>addition</w:t>
      </w:r>
      <w:r w:rsidRPr="00C17602">
        <w:rPr>
          <w:rFonts w:ascii="Times New Roman" w:hAnsi="Times New Roman" w:cs="Times New Roman"/>
          <w:bCs/>
          <w:sz w:val="24"/>
          <w:szCs w:val="24"/>
        </w:rPr>
        <w:t xml:space="preserve"> is made to include the net value of the purchase and subsequent resale of goods abroad without the goods entering the United States. Because these goods do not cross the U.S. customs frontier, their value is not recorded in the Census data.</w:t>
      </w:r>
    </w:p>
    <w:p w14:paraId="0D64AEC2"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Other adjustments to exports include:</w:t>
      </w:r>
    </w:p>
    <w:p w14:paraId="6A90FFC5" w14:textId="2E083A3D"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i/>
          <w:sz w:val="24"/>
          <w:szCs w:val="24"/>
        </w:rPr>
        <w:t>Deductions</w:t>
      </w:r>
      <w:r w:rsidRPr="00C17602">
        <w:rPr>
          <w:rFonts w:ascii="Times New Roman" w:hAnsi="Times New Roman" w:cs="Times New Roman"/>
          <w:sz w:val="24"/>
          <w:szCs w:val="24"/>
        </w:rPr>
        <w:t xml:space="preserve"> for equipment repairs (parts and labor), developed motion picture film, </w:t>
      </w:r>
      <w:r w:rsidR="00323FBE">
        <w:rPr>
          <w:rFonts w:ascii="Times New Roman" w:hAnsi="Times New Roman" w:cs="Times New Roman"/>
          <w:sz w:val="24"/>
          <w:szCs w:val="24"/>
        </w:rPr>
        <w:t>military grant-aid,</w:t>
      </w:r>
      <w:r w:rsidR="00323FBE" w:rsidRPr="00323FBE">
        <w:t xml:space="preserve"> </w:t>
      </w:r>
      <w:r w:rsidR="00323FBE" w:rsidRPr="00323FBE">
        <w:rPr>
          <w:rFonts w:ascii="Times New Roman" w:hAnsi="Times New Roman" w:cs="Times New Roman"/>
          <w:sz w:val="24"/>
          <w:szCs w:val="24"/>
        </w:rPr>
        <w:t>and, for periods prior to 2010, goods identified in the Census data as exports under the Foreign Military Sales (FMS) program.</w:t>
      </w:r>
      <w:r w:rsidRPr="00C17602">
        <w:rPr>
          <w:rFonts w:ascii="Times New Roman" w:hAnsi="Times New Roman" w:cs="Times New Roman"/>
          <w:sz w:val="24"/>
          <w:szCs w:val="24"/>
        </w:rPr>
        <w:t xml:space="preserve"> </w:t>
      </w:r>
      <w:r w:rsidRPr="00C17602">
        <w:rPr>
          <w:rFonts w:ascii="Times New Roman" w:hAnsi="Times New Roman" w:cs="Times New Roman"/>
          <w:i/>
          <w:sz w:val="24"/>
          <w:szCs w:val="24"/>
        </w:rPr>
        <w:t>Additions</w:t>
      </w:r>
      <w:r w:rsidRPr="00C17602">
        <w:rPr>
          <w:rFonts w:ascii="Times New Roman" w:hAnsi="Times New Roman" w:cs="Times New Roman"/>
          <w:sz w:val="24"/>
          <w:szCs w:val="24"/>
        </w:rPr>
        <w:t xml:space="preserve"> for sales of fish caught in U.S. territorial waters, exports of electricity to Mexico, private gift parcels, vessels and oil rigs for which ownership changes, valuation of software exports at market value, low-value (below reporting threshold) transactions for 1999–2009 to phase in a revised Census Bureau low-value methodology that was implemented for goods on a Census basis beginning with statistics for 2010</w:t>
      </w:r>
      <w:r w:rsidR="00323FBE" w:rsidRPr="00323FBE">
        <w:rPr>
          <w:rFonts w:ascii="Times New Roman" w:hAnsi="Times New Roman" w:cs="Times New Roman"/>
          <w:sz w:val="24"/>
          <w:szCs w:val="24"/>
        </w:rPr>
        <w:t>, and, for periods prior to 2010, FMS goods exports reported to BEA by the U.S. Department of Defense.</w:t>
      </w:r>
    </w:p>
    <w:p w14:paraId="57B12AB7"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The import adjustments include:</w:t>
      </w:r>
    </w:p>
    <w:p w14:paraId="42C09BE0"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Gold imports, nonmonetary</w:t>
      </w:r>
      <w:r w:rsidRPr="002F628E">
        <w:rPr>
          <w:rFonts w:ascii="Times New Roman" w:hAnsi="Times New Roman" w:cs="Times New Roman"/>
          <w:bCs/>
          <w:sz w:val="24"/>
          <w:szCs w:val="24"/>
        </w:rPr>
        <w:t xml:space="preserve"> - T</w:t>
      </w:r>
      <w:r w:rsidRPr="00C17602">
        <w:rPr>
          <w:rFonts w:ascii="Times New Roman" w:hAnsi="Times New Roman" w:cs="Times New Roman"/>
          <w:bCs/>
          <w:sz w:val="24"/>
          <w:szCs w:val="24"/>
        </w:rPr>
        <w:t>his</w:t>
      </w:r>
      <w:r w:rsidRPr="00C17602">
        <w:rPr>
          <w:rFonts w:ascii="Times New Roman" w:hAnsi="Times New Roman" w:cs="Times New Roman"/>
          <w:b/>
          <w:bCs/>
          <w:sz w:val="24"/>
          <w:szCs w:val="24"/>
        </w:rPr>
        <w:t xml:space="preserve"> </w:t>
      </w:r>
      <w:r w:rsidRPr="00C17602">
        <w:rPr>
          <w:rFonts w:ascii="Times New Roman" w:hAnsi="Times New Roman" w:cs="Times New Roman"/>
          <w:i/>
          <w:sz w:val="24"/>
          <w:szCs w:val="24"/>
        </w:rPr>
        <w:t>addition</w:t>
      </w:r>
      <w:r w:rsidRPr="00C17602">
        <w:rPr>
          <w:rFonts w:ascii="Times New Roman" w:hAnsi="Times New Roman" w:cs="Times New Roman"/>
          <w:sz w:val="24"/>
          <w:szCs w:val="24"/>
        </w:rPr>
        <w:t xml:space="preserve"> is made for gold sold by foreign official agencies to private purchasers out of stock held at the Federal Reserve Bank of New York. The Census data only include gold that enters the U.S. customs territory.</w:t>
      </w:r>
    </w:p>
    <w:p w14:paraId="7228C1B4"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Goods procured in foreign ports by U.S. carriers</w:t>
      </w:r>
      <w:r w:rsidRPr="002F628E">
        <w:rPr>
          <w:rFonts w:ascii="Times New Roman" w:hAnsi="Times New Roman" w:cs="Times New Roman"/>
          <w:bCs/>
          <w:sz w:val="24"/>
          <w:szCs w:val="24"/>
        </w:rPr>
        <w:t xml:space="preserve"> - </w:t>
      </w:r>
      <w:r w:rsidRPr="002F628E">
        <w:rPr>
          <w:rFonts w:ascii="Times New Roman" w:hAnsi="Times New Roman" w:cs="Times New Roman"/>
          <w:sz w:val="24"/>
          <w:szCs w:val="24"/>
        </w:rPr>
        <w:t>T</w:t>
      </w:r>
      <w:r w:rsidRPr="002F628E">
        <w:rPr>
          <w:rFonts w:ascii="Times New Roman" w:hAnsi="Times New Roman" w:cs="Times New Roman"/>
          <w:bCs/>
          <w:sz w:val="24"/>
          <w:szCs w:val="24"/>
        </w:rPr>
        <w:t>h</w:t>
      </w:r>
      <w:r w:rsidRPr="00C17602">
        <w:rPr>
          <w:rFonts w:ascii="Times New Roman" w:hAnsi="Times New Roman" w:cs="Times New Roman"/>
          <w:bCs/>
          <w:sz w:val="24"/>
          <w:szCs w:val="24"/>
        </w:rPr>
        <w:t xml:space="preserve">is </w:t>
      </w:r>
      <w:r w:rsidRPr="00C17602">
        <w:rPr>
          <w:rFonts w:ascii="Times New Roman" w:hAnsi="Times New Roman" w:cs="Times New Roman"/>
          <w:bCs/>
          <w:i/>
          <w:sz w:val="24"/>
          <w:szCs w:val="24"/>
        </w:rPr>
        <w:t>addition</w:t>
      </w:r>
      <w:r w:rsidRPr="00C17602">
        <w:rPr>
          <w:rFonts w:ascii="Times New Roman" w:hAnsi="Times New Roman" w:cs="Times New Roman"/>
          <w:bCs/>
          <w:sz w:val="24"/>
          <w:szCs w:val="24"/>
        </w:rPr>
        <w:t xml:space="preserve"> is made for U.S. air and ocean carriers’ fuel purchases in foreign ports.</w:t>
      </w:r>
    </w:p>
    <w:p w14:paraId="209C14B9"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Imports by U.S. military agencies</w:t>
      </w:r>
      <w:r w:rsidRPr="002F628E">
        <w:rPr>
          <w:rFonts w:ascii="Times New Roman" w:hAnsi="Times New Roman" w:cs="Times New Roman"/>
          <w:bCs/>
          <w:sz w:val="24"/>
          <w:szCs w:val="24"/>
        </w:rPr>
        <w:t xml:space="preserve"> - T</w:t>
      </w:r>
      <w:r w:rsidRPr="00C17602">
        <w:rPr>
          <w:rFonts w:ascii="Times New Roman" w:hAnsi="Times New Roman" w:cs="Times New Roman"/>
          <w:sz w:val="24"/>
          <w:szCs w:val="24"/>
        </w:rPr>
        <w:t xml:space="preserve">his </w:t>
      </w:r>
      <w:r w:rsidRPr="00C17602">
        <w:rPr>
          <w:rFonts w:ascii="Times New Roman" w:hAnsi="Times New Roman" w:cs="Times New Roman"/>
          <w:i/>
          <w:sz w:val="24"/>
          <w:szCs w:val="24"/>
        </w:rPr>
        <w:t>addition</w:t>
      </w:r>
      <w:r w:rsidRPr="00C17602">
        <w:rPr>
          <w:rFonts w:ascii="Times New Roman" w:hAnsi="Times New Roman" w:cs="Times New Roman"/>
          <w:sz w:val="24"/>
          <w:szCs w:val="24"/>
        </w:rPr>
        <w:t xml:space="preserve"> is made for purchases of goods abroad by U.S. military agencies, which are reported to BEA by the Department of Defense. The Census data only include imports of goods by U.S. military agencies that enter the U.S. customs territory.</w:t>
      </w:r>
    </w:p>
    <w:p w14:paraId="1ED3BA47"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Inland freight in Canada and Mexico</w:t>
      </w:r>
      <w:r w:rsidRPr="002F628E">
        <w:rPr>
          <w:rFonts w:ascii="Times New Roman" w:hAnsi="Times New Roman" w:cs="Times New Roman"/>
          <w:bCs/>
          <w:sz w:val="24"/>
          <w:szCs w:val="24"/>
        </w:rPr>
        <w:t xml:space="preserve"> - T</w:t>
      </w:r>
      <w:r w:rsidRPr="00C17602">
        <w:rPr>
          <w:rFonts w:ascii="Times New Roman" w:hAnsi="Times New Roman" w:cs="Times New Roman"/>
          <w:bCs/>
          <w:sz w:val="24"/>
          <w:szCs w:val="24"/>
        </w:rPr>
        <w:t>his</w:t>
      </w:r>
      <w:r w:rsidRPr="00C17602">
        <w:rPr>
          <w:rFonts w:ascii="Times New Roman" w:hAnsi="Times New Roman" w:cs="Times New Roman"/>
          <w:b/>
          <w:bCs/>
          <w:sz w:val="24"/>
          <w:szCs w:val="24"/>
        </w:rPr>
        <w:t xml:space="preserve"> </w:t>
      </w:r>
      <w:r w:rsidRPr="00C17602">
        <w:rPr>
          <w:rFonts w:ascii="Times New Roman" w:hAnsi="Times New Roman" w:cs="Times New Roman"/>
          <w:i/>
          <w:sz w:val="24"/>
          <w:szCs w:val="24"/>
        </w:rPr>
        <w:t>addition</w:t>
      </w:r>
      <w:r w:rsidRPr="00C17602">
        <w:rPr>
          <w:rFonts w:ascii="Times New Roman" w:hAnsi="Times New Roman" w:cs="Times New Roman"/>
          <w:sz w:val="24"/>
          <w:szCs w:val="24"/>
        </w:rPr>
        <w:t xml:space="preserve"> is made for inland freight in Canada and Mexico. Imports of goods from all countries should be valued at the customs value—the value at the foreign port of export including inland freight charges. For imports from Canada and Mexico, this should be the cost of the goods at the U.S. border. However, the customs value for imports for certain Canadian and Mexican goods is the point of origin in Canada or Mexico. BEA makes an </w:t>
      </w:r>
      <w:r w:rsidRPr="00C17602">
        <w:rPr>
          <w:rFonts w:ascii="Times New Roman" w:hAnsi="Times New Roman" w:cs="Times New Roman"/>
          <w:i/>
          <w:sz w:val="24"/>
          <w:szCs w:val="24"/>
        </w:rPr>
        <w:t>addition</w:t>
      </w:r>
      <w:r w:rsidRPr="00C17602">
        <w:rPr>
          <w:rFonts w:ascii="Times New Roman" w:hAnsi="Times New Roman" w:cs="Times New Roman"/>
          <w:sz w:val="24"/>
          <w:szCs w:val="24"/>
        </w:rPr>
        <w:t xml:space="preserve"> for the inland freight charges of transporting these goods to the U.S. border to make the value comparable to the customs value reported for imports from other countries.</w:t>
      </w:r>
    </w:p>
    <w:p w14:paraId="3B9DEAB1"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Other adjustments to imports include:</w:t>
      </w:r>
    </w:p>
    <w:p w14:paraId="34416B48"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i/>
          <w:sz w:val="24"/>
          <w:szCs w:val="24"/>
        </w:rPr>
        <w:t>Deductions</w:t>
      </w:r>
      <w:r w:rsidRPr="00C17602">
        <w:rPr>
          <w:rFonts w:ascii="Times New Roman" w:hAnsi="Times New Roman" w:cs="Times New Roman"/>
          <w:sz w:val="24"/>
          <w:szCs w:val="24"/>
        </w:rPr>
        <w:t xml:space="preserve"> for equipment repairs (parts and labor), repairs to U.S. vessels abroad, and developed motion picture film.  </w:t>
      </w:r>
      <w:r w:rsidRPr="00C17602">
        <w:rPr>
          <w:rFonts w:ascii="Times New Roman" w:hAnsi="Times New Roman" w:cs="Times New Roman"/>
          <w:i/>
          <w:sz w:val="24"/>
          <w:szCs w:val="24"/>
        </w:rPr>
        <w:t>Additions</w:t>
      </w:r>
      <w:r w:rsidRPr="00C17602">
        <w:rPr>
          <w:rFonts w:ascii="Times New Roman" w:hAnsi="Times New Roman" w:cs="Times New Roman"/>
          <w:sz w:val="24"/>
          <w:szCs w:val="24"/>
        </w:rPr>
        <w:t xml:space="preserve"> for non-reported imports of locomotives and railcars, imports of electricity from Mexico, conversion of vessels for commercial use, valuation of software imports at market value, and low-value (below reporting threshold) transactions for 1999–2009 to phase in a revised Census Bureau low-value methodology that was implemented for goods on a Census basis beginning with statistics for 2010.</w:t>
      </w:r>
    </w:p>
    <w:p w14:paraId="4CBD80F9" w14:textId="77777777" w:rsidR="001705DB" w:rsidRPr="00F1113D" w:rsidRDefault="001705DB" w:rsidP="001705DB">
      <w:pPr>
        <w:spacing w:after="0"/>
        <w:ind w:left="-360"/>
        <w:rPr>
          <w:rFonts w:ascii="Arial" w:hAnsi="Arial" w:cs="Arial"/>
          <w:b/>
          <w:bCs/>
          <w:i/>
          <w:sz w:val="24"/>
          <w:szCs w:val="24"/>
        </w:rPr>
      </w:pPr>
      <w:r w:rsidRPr="00F1113D">
        <w:rPr>
          <w:rFonts w:ascii="Arial" w:hAnsi="Arial" w:cs="Arial"/>
          <w:b/>
          <w:bCs/>
          <w:i/>
          <w:sz w:val="24"/>
          <w:szCs w:val="24"/>
        </w:rPr>
        <w:t>S</w:t>
      </w:r>
      <w:r>
        <w:rPr>
          <w:rFonts w:ascii="Arial" w:hAnsi="Arial" w:cs="Arial"/>
          <w:b/>
          <w:bCs/>
          <w:i/>
          <w:sz w:val="24"/>
          <w:szCs w:val="24"/>
        </w:rPr>
        <w:t>ervices</w:t>
      </w:r>
    </w:p>
    <w:p w14:paraId="1D09A5CE"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The services statistics cover transactions between foreign countries and the 50 states, the District of Columbia, Puerto Rico, the U.S. Virgin Islands, and other U.S. territories and possessions. Transactions with U.S. military, diplomatic, and consular installations abroad are excluded because these installations are considered to be part of the U.S. economy.</w:t>
      </w:r>
    </w:p>
    <w:p w14:paraId="162A7F0B" w14:textId="4A697416"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Services statistics are based on quarterly, annual, and benchmark surveys and information obtained from monthly government and industry reports. For categories for which monthly data are not available, monthly statistics are derived from quarterly statistics through temporal distribution, or interpolation. The interpolation methodology used by BEA is the modified Denton proportional first difference method. This method preserves the pattern of the monthly indicator series, if available, while satisfying the annual aggregation constraints. See “</w:t>
      </w:r>
      <w:hyperlink r:id="rId30" w:history="1">
        <w:r w:rsidRPr="00C17602">
          <w:rPr>
            <w:rStyle w:val="Hyperlink"/>
            <w:rFonts w:ascii="Times New Roman" w:hAnsi="Times New Roman" w:cs="Times New Roman"/>
            <w:sz w:val="24"/>
            <w:szCs w:val="24"/>
          </w:rPr>
          <w:t>An Empirical Review of Methods for Temporal Distribution and Interpolation in the National Accounts</w:t>
        </w:r>
      </w:hyperlink>
      <w:r w:rsidRPr="00C17602">
        <w:rPr>
          <w:rFonts w:ascii="Times New Roman" w:hAnsi="Times New Roman" w:cs="Times New Roman"/>
          <w:sz w:val="24"/>
          <w:szCs w:val="24"/>
        </w:rPr>
        <w:t xml:space="preserve">” </w:t>
      </w:r>
      <w:r>
        <w:rPr>
          <w:rFonts w:ascii="Times New Roman" w:hAnsi="Times New Roman" w:cs="Times New Roman"/>
          <w:sz w:val="24"/>
          <w:szCs w:val="24"/>
        </w:rPr>
        <w:t xml:space="preserve">(May 2008) </w:t>
      </w:r>
      <w:r w:rsidRPr="00C17602">
        <w:rPr>
          <w:rFonts w:ascii="Times New Roman" w:hAnsi="Times New Roman" w:cs="Times New Roman"/>
          <w:sz w:val="24"/>
          <w:szCs w:val="24"/>
        </w:rPr>
        <w:t>for more information. Services are seasonally adjusted when statistically significant seasonal patterns are present.</w:t>
      </w:r>
    </w:p>
    <w:p w14:paraId="77588D1A"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Services are shown in nine broad categories. The following is a brief description of the types of services included in each category:</w:t>
      </w:r>
    </w:p>
    <w:p w14:paraId="1B2A22EC" w14:textId="77777777" w:rsidR="001705DB" w:rsidRPr="00C17602" w:rsidRDefault="001705DB" w:rsidP="001705DB">
      <w:pPr>
        <w:spacing w:after="120"/>
        <w:ind w:left="-360"/>
        <w:rPr>
          <w:rFonts w:ascii="Times New Roman" w:hAnsi="Times New Roman" w:cs="Times New Roman"/>
          <w:bCs/>
          <w:sz w:val="24"/>
          <w:szCs w:val="24"/>
        </w:rPr>
      </w:pPr>
      <w:r w:rsidRPr="00C17602">
        <w:rPr>
          <w:rFonts w:ascii="Times New Roman" w:hAnsi="Times New Roman" w:cs="Times New Roman"/>
          <w:b/>
          <w:bCs/>
          <w:sz w:val="24"/>
          <w:szCs w:val="24"/>
        </w:rPr>
        <w:t xml:space="preserve">Maintenance and repair services </w:t>
      </w:r>
      <w:proofErr w:type="spellStart"/>
      <w:r w:rsidRPr="00C17602">
        <w:rPr>
          <w:rFonts w:ascii="Times New Roman" w:hAnsi="Times New Roman" w:cs="Times New Roman"/>
          <w:b/>
          <w:bCs/>
          <w:sz w:val="24"/>
          <w:szCs w:val="24"/>
        </w:rPr>
        <w:t>n.i.e</w:t>
      </w:r>
      <w:proofErr w:type="spellEnd"/>
      <w:r w:rsidRPr="00C17602">
        <w:rPr>
          <w:rFonts w:ascii="Times New Roman" w:hAnsi="Times New Roman" w:cs="Times New Roman"/>
          <w:b/>
          <w:bCs/>
          <w:sz w:val="24"/>
          <w:szCs w:val="24"/>
        </w:rPr>
        <w:t>. (not included elsewhere)</w:t>
      </w:r>
      <w:r w:rsidRPr="002F628E">
        <w:rPr>
          <w:rFonts w:ascii="Times New Roman" w:hAnsi="Times New Roman" w:cs="Times New Roman"/>
          <w:bCs/>
          <w:sz w:val="24"/>
          <w:szCs w:val="24"/>
        </w:rPr>
        <w:t xml:space="preserve"> - C</w:t>
      </w:r>
      <w:r w:rsidRPr="00C17602">
        <w:rPr>
          <w:rFonts w:ascii="Times New Roman" w:hAnsi="Times New Roman" w:cs="Times New Roman"/>
          <w:bCs/>
          <w:sz w:val="24"/>
          <w:szCs w:val="24"/>
        </w:rPr>
        <w:t xml:space="preserve">onsists of </w:t>
      </w:r>
      <w:r w:rsidRPr="00C17602">
        <w:rPr>
          <w:rFonts w:ascii="Times New Roman" w:hAnsi="Times New Roman" w:cs="Times New Roman"/>
          <w:sz w:val="24"/>
          <w:szCs w:val="24"/>
        </w:rPr>
        <w:t>maintenance and repair services performed by residents of one country on goods that are owned by residents of another country. The repairs may be performed at the site of the repair facility or elsewhere. Excludes such services in which the cost is included in the price of the goods and is not billed separately or is declared as a part of the price of the goods on the import or export declaration filed with the U.S. Customs and Border Protection. Maintenance and repair of computers are included under computer services, and some maintenance and repair of ships, aircraft, and other transport equipment are included under transport services.</w:t>
      </w:r>
    </w:p>
    <w:p w14:paraId="3A8A709B" w14:textId="77777777" w:rsidR="001705DB" w:rsidRPr="00C17602" w:rsidRDefault="001705DB" w:rsidP="001705DB">
      <w:pPr>
        <w:spacing w:after="120"/>
        <w:ind w:left="-360"/>
        <w:rPr>
          <w:rFonts w:ascii="Times New Roman" w:hAnsi="Times New Roman" w:cs="Times New Roman"/>
          <w:b/>
          <w:bCs/>
          <w:sz w:val="24"/>
          <w:szCs w:val="24"/>
        </w:rPr>
      </w:pPr>
      <w:r w:rsidRPr="00C17602">
        <w:rPr>
          <w:rFonts w:ascii="Times New Roman" w:hAnsi="Times New Roman" w:cs="Times New Roman"/>
          <w:b/>
          <w:bCs/>
          <w:sz w:val="24"/>
          <w:szCs w:val="24"/>
        </w:rPr>
        <w:t>Transport</w:t>
      </w:r>
      <w:r w:rsidRPr="002F628E">
        <w:rPr>
          <w:rFonts w:ascii="Times New Roman" w:hAnsi="Times New Roman" w:cs="Times New Roman"/>
          <w:sz w:val="24"/>
          <w:szCs w:val="24"/>
        </w:rPr>
        <w:t xml:space="preserve"> - C</w:t>
      </w:r>
      <w:r w:rsidRPr="00C17602">
        <w:rPr>
          <w:rFonts w:ascii="Times New Roman" w:hAnsi="Times New Roman" w:cs="Times New Roman"/>
          <w:sz w:val="24"/>
          <w:szCs w:val="24"/>
        </w:rPr>
        <w:t>onsists of transactions associated with moving people and freight from one location to another and includes related supporting and auxiliary services. Transport covers all modes of transportation, including air, sea, rail, road, space, and pipeline. Postal and courier services and port services, which cover cargo handling, storage and warehousing, and other related transport services, are also included.</w:t>
      </w:r>
    </w:p>
    <w:p w14:paraId="6C0EBEFA"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Travel (for all purposes including education)</w:t>
      </w:r>
      <w:r w:rsidRPr="002F628E">
        <w:rPr>
          <w:rFonts w:ascii="Times New Roman" w:hAnsi="Times New Roman" w:cs="Times New Roman"/>
          <w:sz w:val="24"/>
          <w:szCs w:val="24"/>
        </w:rPr>
        <w:t xml:space="preserve"> - I</w:t>
      </w:r>
      <w:r w:rsidRPr="00C17602">
        <w:rPr>
          <w:rFonts w:ascii="Times New Roman" w:hAnsi="Times New Roman" w:cs="Times New Roman"/>
          <w:sz w:val="24"/>
          <w:szCs w:val="24"/>
        </w:rPr>
        <w:t xml:space="preserve">ncludes goods and services acquired by nonresidents while abroad. A traveler is defined as a person who stays, or intends to stay, for less than one year in a country of which he or she is not a resident or as a nonresident whose purpose is to obtain education or medical treatment, no matter how long the stay. Purchases can be either for own use or for gifts to others. Travel is a </w:t>
      </w:r>
      <w:proofErr w:type="spellStart"/>
      <w:r w:rsidRPr="00C17602">
        <w:rPr>
          <w:rFonts w:ascii="Times New Roman" w:hAnsi="Times New Roman" w:cs="Times New Roman"/>
          <w:sz w:val="24"/>
          <w:szCs w:val="24"/>
        </w:rPr>
        <w:t>transactor</w:t>
      </w:r>
      <w:proofErr w:type="spellEnd"/>
      <w:r w:rsidRPr="00C17602">
        <w:rPr>
          <w:rFonts w:ascii="Times New Roman" w:hAnsi="Times New Roman" w:cs="Times New Roman"/>
          <w:sz w:val="24"/>
          <w:szCs w:val="24"/>
        </w:rPr>
        <w:t xml:space="preserve">-based component that covers a variety of goods and services, primarily lodging, meals, transportation in the country of travel, amusement, entertainment, and gifts. </w:t>
      </w:r>
      <w:r>
        <w:rPr>
          <w:rFonts w:ascii="Times New Roman" w:hAnsi="Times New Roman" w:cs="Times New Roman"/>
          <w:sz w:val="24"/>
          <w:szCs w:val="24"/>
        </w:rPr>
        <w:t>Travel e</w:t>
      </w:r>
      <w:r w:rsidRPr="00C17602">
        <w:rPr>
          <w:rFonts w:ascii="Times New Roman" w:hAnsi="Times New Roman" w:cs="Times New Roman"/>
          <w:sz w:val="24"/>
          <w:szCs w:val="24"/>
        </w:rPr>
        <w:t xml:space="preserve">xcludes air passenger services for travel between countries, which are included in </w:t>
      </w:r>
      <w:r w:rsidRPr="00C17602">
        <w:rPr>
          <w:rFonts w:ascii="Times New Roman" w:hAnsi="Times New Roman" w:cs="Times New Roman"/>
          <w:i/>
          <w:sz w:val="24"/>
          <w:szCs w:val="24"/>
        </w:rPr>
        <w:t>transport</w:t>
      </w:r>
      <w:r w:rsidRPr="00C17602">
        <w:rPr>
          <w:rFonts w:ascii="Times New Roman" w:hAnsi="Times New Roman" w:cs="Times New Roman"/>
          <w:sz w:val="24"/>
          <w:szCs w:val="24"/>
        </w:rPr>
        <w:t>, and goods for resale, which are included in goods.</w:t>
      </w:r>
    </w:p>
    <w:p w14:paraId="0CC16067"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Travel includes business and personal travel. Business travel covers goods and services acquired for use by persons whose primary purpose for travel is for business (including goods and services for which business travelers are reimbursed by employers). Business travel also includes expenditures by border, seasonal, and other short-term workers in their economy of employment. Personal travel covers travel for all non-business purposes, including for medical or educational purposes.</w:t>
      </w:r>
    </w:p>
    <w:p w14:paraId="719C1254"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sz w:val="24"/>
          <w:szCs w:val="24"/>
        </w:rPr>
        <w:t>Insurance services</w:t>
      </w:r>
      <w:r w:rsidRPr="002F628E">
        <w:rPr>
          <w:rFonts w:ascii="Times New Roman" w:hAnsi="Times New Roman" w:cs="Times New Roman"/>
          <w:sz w:val="24"/>
          <w:szCs w:val="24"/>
        </w:rPr>
        <w:t xml:space="preserve"> - I</w:t>
      </w:r>
      <w:r w:rsidRPr="00C17602">
        <w:rPr>
          <w:rFonts w:ascii="Times New Roman" w:hAnsi="Times New Roman" w:cs="Times New Roman"/>
          <w:sz w:val="24"/>
          <w:szCs w:val="24"/>
        </w:rPr>
        <w:t>ncludes the direct insurance services of providing life insurance and annuities, non-life (property and casualty) insurance, reinsurance, freight insurance, and auxiliary insurance services.  Insurance is measured as gross premiums earned plus premium supplements less claims payable, with an adjustment for claims volatility. Premium supplements represent investment income from insurance reserves, which are attributed to policyholders who are treated as paying the income back to the insurer. Auxiliary insurance services include agents’ commissions, brokerage services, insurance consulting services, actuarial services, and other insurance services.</w:t>
      </w:r>
    </w:p>
    <w:p w14:paraId="0B78023A"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sz w:val="24"/>
          <w:szCs w:val="24"/>
        </w:rPr>
        <w:t>Financial services</w:t>
      </w:r>
      <w:r w:rsidRPr="002F628E">
        <w:rPr>
          <w:rFonts w:ascii="Times New Roman" w:hAnsi="Times New Roman" w:cs="Times New Roman"/>
          <w:sz w:val="24"/>
          <w:szCs w:val="24"/>
        </w:rPr>
        <w:t xml:space="preserve"> - In</w:t>
      </w:r>
      <w:r w:rsidRPr="00C17602">
        <w:rPr>
          <w:rFonts w:ascii="Times New Roman" w:hAnsi="Times New Roman" w:cs="Times New Roman"/>
          <w:sz w:val="24"/>
          <w:szCs w:val="24"/>
        </w:rPr>
        <w:t>cludes financial intermediary and auxiliary services, except insurance services. These services include those normally provided by banks and other financial institutions. Services primarily include those for which an explicit commission or a fee is charged; implicit fees for bond transactions, measured as the difference between bid and ask prices, are also included. Services include securities brokerage and underwriting, financial management, financial advisory, and custody services; credit and other credit-related services; and securities lending, electronic funds transfer, and other services.</w:t>
      </w:r>
    </w:p>
    <w:p w14:paraId="15FA1927"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 xml:space="preserve">Charges for the use of intellectual property </w:t>
      </w:r>
      <w:proofErr w:type="spellStart"/>
      <w:r w:rsidRPr="00C17602">
        <w:rPr>
          <w:rFonts w:ascii="Times New Roman" w:hAnsi="Times New Roman" w:cs="Times New Roman"/>
          <w:b/>
          <w:bCs/>
          <w:sz w:val="24"/>
          <w:szCs w:val="24"/>
        </w:rPr>
        <w:t>n.i.e</w:t>
      </w:r>
      <w:proofErr w:type="spellEnd"/>
      <w:r w:rsidRPr="00C17602">
        <w:rPr>
          <w:rFonts w:ascii="Times New Roman" w:hAnsi="Times New Roman" w:cs="Times New Roman"/>
          <w:b/>
          <w:bCs/>
          <w:sz w:val="24"/>
          <w:szCs w:val="24"/>
        </w:rPr>
        <w:t>.</w:t>
      </w:r>
      <w:r w:rsidRPr="002F628E">
        <w:rPr>
          <w:rFonts w:ascii="Times New Roman" w:hAnsi="Times New Roman" w:cs="Times New Roman"/>
          <w:sz w:val="24"/>
          <w:szCs w:val="24"/>
        </w:rPr>
        <w:t xml:space="preserve"> - I</w:t>
      </w:r>
      <w:r w:rsidRPr="00C17602">
        <w:rPr>
          <w:rFonts w:ascii="Times New Roman" w:hAnsi="Times New Roman" w:cs="Times New Roman"/>
          <w:bCs/>
          <w:sz w:val="24"/>
          <w:szCs w:val="24"/>
        </w:rPr>
        <w:t>ncludes charges for the use of proprietary rights, such as patents, trademarks, and copyrights, and charges for licenses to use, reproduce, distribute, and sell or purchase intellectual property</w:t>
      </w:r>
      <w:r w:rsidRPr="00C17602">
        <w:rPr>
          <w:rFonts w:ascii="Times New Roman" w:hAnsi="Times New Roman" w:cs="Times New Roman"/>
          <w:b/>
          <w:bCs/>
          <w:sz w:val="24"/>
          <w:szCs w:val="24"/>
        </w:rPr>
        <w:t>.</w:t>
      </w:r>
    </w:p>
    <w:p w14:paraId="36A3BBD8" w14:textId="77777777" w:rsidR="001705DB" w:rsidRPr="00C17602" w:rsidRDefault="001705DB" w:rsidP="001705DB">
      <w:pPr>
        <w:spacing w:after="120"/>
        <w:ind w:left="-360"/>
        <w:rPr>
          <w:rFonts w:ascii="Times New Roman" w:hAnsi="Times New Roman" w:cs="Times New Roman"/>
          <w:sz w:val="24"/>
          <w:szCs w:val="24"/>
        </w:rPr>
      </w:pPr>
      <w:r>
        <w:rPr>
          <w:rFonts w:ascii="Times New Roman" w:hAnsi="Times New Roman" w:cs="Times New Roman"/>
          <w:b/>
          <w:sz w:val="24"/>
          <w:szCs w:val="24"/>
        </w:rPr>
        <w:t xml:space="preserve">Telecommunications, </w:t>
      </w:r>
      <w:r w:rsidRPr="00C17602">
        <w:rPr>
          <w:rFonts w:ascii="Times New Roman" w:hAnsi="Times New Roman" w:cs="Times New Roman"/>
          <w:b/>
          <w:sz w:val="24"/>
          <w:szCs w:val="24"/>
        </w:rPr>
        <w:t>computer, and information services</w:t>
      </w:r>
      <w:r w:rsidRPr="002F628E">
        <w:rPr>
          <w:rFonts w:ascii="Times New Roman" w:hAnsi="Times New Roman" w:cs="Times New Roman"/>
          <w:sz w:val="24"/>
          <w:szCs w:val="24"/>
        </w:rPr>
        <w:t xml:space="preserve"> - Te</w:t>
      </w:r>
      <w:r w:rsidRPr="00C17602">
        <w:rPr>
          <w:rFonts w:ascii="Times New Roman" w:hAnsi="Times New Roman" w:cs="Times New Roman"/>
          <w:sz w:val="24"/>
          <w:szCs w:val="24"/>
        </w:rPr>
        <w:t>lecommunications services include the broadcast or transmission of sound, images, data, or other information by electronic means. These services do not include the value of the information transmitted. Computer services consist of hardware- and software-related services and data processing services. Sales of customized software and related use licenses, as well as licenses to use non-customized software with a periodic license fee, are also included, as is software downloaded or otherwise electronically delivered. Cross-border transactions in non-customized packaged software with a license for perpetual use are included in goods. Information services include news agency services, database services, and web search portals.</w:t>
      </w:r>
    </w:p>
    <w:p w14:paraId="426A1CAB"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sz w:val="24"/>
          <w:szCs w:val="24"/>
        </w:rPr>
        <w:t>Other business services</w:t>
      </w:r>
      <w:r w:rsidRPr="002F628E">
        <w:rPr>
          <w:rFonts w:ascii="Times New Roman" w:hAnsi="Times New Roman" w:cs="Times New Roman"/>
          <w:sz w:val="24"/>
          <w:szCs w:val="24"/>
        </w:rPr>
        <w:t xml:space="preserve"> - C</w:t>
      </w:r>
      <w:r w:rsidRPr="00C17602">
        <w:rPr>
          <w:rFonts w:ascii="Times New Roman" w:hAnsi="Times New Roman" w:cs="Times New Roman"/>
          <w:sz w:val="24"/>
          <w:szCs w:val="24"/>
        </w:rPr>
        <w:t>onsists of research and development services, professional and management consulting services, and technical, trade-related, and other business services. Research and development services include services associated with basic and applied research and experimental development of new products and processes. Professional and management consulting services include legal services, accounting, management consulting, managerial services, public relations services, advertising, and market research. Amounts received by a parent company from its affiliates for general overhead expenses related to these services are included. Technical, trade-related, and other business services include architectural and engineering, construction, audio-visual, waste treatment, operational leasing, trade-related, and other business services.</w:t>
      </w:r>
    </w:p>
    <w:p w14:paraId="7BDAA5BB" w14:textId="77777777" w:rsidR="001705DB" w:rsidRPr="00C17602" w:rsidRDefault="001705DB" w:rsidP="001705DB">
      <w:pPr>
        <w:spacing w:after="120"/>
        <w:ind w:left="-360"/>
        <w:rPr>
          <w:rFonts w:ascii="Times New Roman" w:hAnsi="Times New Roman" w:cs="Times New Roman"/>
          <w:b/>
          <w:bCs/>
          <w:sz w:val="24"/>
          <w:szCs w:val="24"/>
        </w:rPr>
      </w:pPr>
      <w:r w:rsidRPr="00C17602">
        <w:rPr>
          <w:rFonts w:ascii="Times New Roman" w:hAnsi="Times New Roman" w:cs="Times New Roman"/>
          <w:b/>
          <w:bCs/>
          <w:sz w:val="24"/>
          <w:szCs w:val="24"/>
        </w:rPr>
        <w:t xml:space="preserve">Government goods and services </w:t>
      </w:r>
      <w:proofErr w:type="spellStart"/>
      <w:r w:rsidRPr="00C17602">
        <w:rPr>
          <w:rFonts w:ascii="Times New Roman" w:hAnsi="Times New Roman" w:cs="Times New Roman"/>
          <w:b/>
          <w:bCs/>
          <w:sz w:val="24"/>
          <w:szCs w:val="24"/>
        </w:rPr>
        <w:t>n.i.e</w:t>
      </w:r>
      <w:proofErr w:type="spellEnd"/>
      <w:r w:rsidRPr="00C17602">
        <w:rPr>
          <w:rFonts w:ascii="Times New Roman" w:hAnsi="Times New Roman" w:cs="Times New Roman"/>
          <w:b/>
          <w:bCs/>
          <w:sz w:val="24"/>
          <w:szCs w:val="24"/>
        </w:rPr>
        <w:t>.</w:t>
      </w:r>
      <w:r w:rsidRPr="002F628E">
        <w:rPr>
          <w:rFonts w:ascii="Times New Roman" w:hAnsi="Times New Roman" w:cs="Times New Roman"/>
          <w:bCs/>
          <w:sz w:val="24"/>
          <w:szCs w:val="24"/>
        </w:rPr>
        <w:t xml:space="preserve"> - I</w:t>
      </w:r>
      <w:r w:rsidRPr="00C17602">
        <w:rPr>
          <w:rFonts w:ascii="Times New Roman" w:hAnsi="Times New Roman" w:cs="Times New Roman"/>
          <w:bCs/>
          <w:sz w:val="24"/>
          <w:szCs w:val="24"/>
        </w:rPr>
        <w:t>ncludes goods and services supplied by and to enclaves, such as embassies, military bases, and international organizations; goods and services acquired from the host economy by diplomats, consular staff, and military personnel located abroad and their dependents; and services supplied by and to governments that are not included in other services categories. Services supplied by and to governments are classified to specific services categories when source data permit.</w:t>
      </w:r>
    </w:p>
    <w:p w14:paraId="0E15006E" w14:textId="77777777" w:rsidR="001705DB" w:rsidRPr="00F1113D" w:rsidRDefault="001705DB" w:rsidP="001705DB">
      <w:pPr>
        <w:spacing w:after="0"/>
        <w:ind w:left="-360"/>
        <w:rPr>
          <w:rFonts w:ascii="Arial" w:hAnsi="Arial" w:cs="Arial"/>
          <w:sz w:val="24"/>
          <w:szCs w:val="24"/>
        </w:rPr>
      </w:pPr>
      <w:r w:rsidRPr="00F1113D">
        <w:rPr>
          <w:rFonts w:ascii="Arial" w:hAnsi="Arial" w:cs="Arial"/>
          <w:b/>
          <w:bCs/>
          <w:i/>
          <w:sz w:val="24"/>
          <w:szCs w:val="24"/>
        </w:rPr>
        <w:t>G</w:t>
      </w:r>
      <w:r>
        <w:rPr>
          <w:rFonts w:ascii="Arial" w:hAnsi="Arial" w:cs="Arial"/>
          <w:b/>
          <w:bCs/>
          <w:i/>
          <w:sz w:val="24"/>
          <w:szCs w:val="24"/>
        </w:rPr>
        <w:t>oods</w:t>
      </w:r>
      <w:r w:rsidRPr="00F1113D">
        <w:rPr>
          <w:rFonts w:ascii="Arial" w:hAnsi="Arial" w:cs="Arial"/>
          <w:b/>
          <w:bCs/>
          <w:i/>
          <w:sz w:val="24"/>
          <w:szCs w:val="24"/>
        </w:rPr>
        <w:t xml:space="preserve"> (BOP B</w:t>
      </w:r>
      <w:r>
        <w:rPr>
          <w:rFonts w:ascii="Arial" w:hAnsi="Arial" w:cs="Arial"/>
          <w:b/>
          <w:bCs/>
          <w:i/>
          <w:sz w:val="24"/>
          <w:szCs w:val="24"/>
        </w:rPr>
        <w:t>asis</w:t>
      </w:r>
      <w:r w:rsidRPr="00F1113D">
        <w:rPr>
          <w:rFonts w:ascii="Arial" w:hAnsi="Arial" w:cs="Arial"/>
          <w:b/>
          <w:bCs/>
          <w:i/>
          <w:sz w:val="24"/>
          <w:szCs w:val="24"/>
        </w:rPr>
        <w:t xml:space="preserve">) </w:t>
      </w:r>
      <w:r>
        <w:rPr>
          <w:rFonts w:ascii="Arial" w:hAnsi="Arial" w:cs="Arial"/>
          <w:b/>
          <w:bCs/>
          <w:i/>
          <w:sz w:val="24"/>
          <w:szCs w:val="24"/>
        </w:rPr>
        <w:t>and Services</w:t>
      </w:r>
      <w:r w:rsidRPr="00F1113D">
        <w:rPr>
          <w:rFonts w:ascii="Arial" w:hAnsi="Arial" w:cs="Arial"/>
          <w:b/>
          <w:bCs/>
          <w:i/>
          <w:sz w:val="24"/>
          <w:szCs w:val="24"/>
        </w:rPr>
        <w:t xml:space="preserve"> </w:t>
      </w:r>
      <w:r>
        <w:rPr>
          <w:rFonts w:ascii="Arial" w:hAnsi="Arial" w:cs="Arial"/>
          <w:b/>
          <w:bCs/>
          <w:i/>
          <w:sz w:val="24"/>
          <w:szCs w:val="24"/>
        </w:rPr>
        <w:t>by</w:t>
      </w:r>
      <w:r w:rsidRPr="00F1113D">
        <w:rPr>
          <w:rFonts w:ascii="Arial" w:hAnsi="Arial" w:cs="Arial"/>
          <w:b/>
          <w:bCs/>
          <w:i/>
          <w:sz w:val="24"/>
          <w:szCs w:val="24"/>
        </w:rPr>
        <w:t xml:space="preserve"> </w:t>
      </w:r>
      <w:r>
        <w:rPr>
          <w:rFonts w:ascii="Arial" w:hAnsi="Arial" w:cs="Arial"/>
          <w:b/>
          <w:bCs/>
          <w:i/>
          <w:sz w:val="24"/>
          <w:szCs w:val="24"/>
        </w:rPr>
        <w:t>Country and Area</w:t>
      </w:r>
    </w:p>
    <w:p w14:paraId="56BE3B6D"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Monthly country and area detail is not available for goods on a BOP basis or for services. However, quarterly statistics on goods on a BOP basis and on services that are seasonally adjusted by geography are shown in Exhibit 20. Unlike the seasonal adjustments by commodity and by service type that are applied to the global totals, these adjustments are developed and applied directly at the country and world area levels. For total exports and imports, data users should refer to the by-commodity and by-service type totals shown in the other exhibits. The seasonally adjusted country and world area data will not sum to the seasonally adjusted by-commodity and by-service type totals because the two sets of statistics are derived from different aggregations of the export and import data and from different seasonal adjustment models. Data users should use caution drawing comparisons between the two sets of seasonally adjusted series.</w:t>
      </w:r>
    </w:p>
    <w:p w14:paraId="5AFA98AA"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 xml:space="preserve">The definitions of the world areas shown in Exhibit 20 are consistent with the definitions for goods on a Census basis (see </w:t>
      </w:r>
      <w:r w:rsidRPr="00C17602">
        <w:rPr>
          <w:rFonts w:ascii="Times New Roman" w:hAnsi="Times New Roman" w:cs="Times New Roman"/>
          <w:i/>
          <w:sz w:val="24"/>
          <w:szCs w:val="24"/>
        </w:rPr>
        <w:t xml:space="preserve">AREA GROUPINGS </w:t>
      </w:r>
      <w:r w:rsidRPr="00C17602">
        <w:rPr>
          <w:rFonts w:ascii="Times New Roman" w:hAnsi="Times New Roman" w:cs="Times New Roman"/>
          <w:sz w:val="24"/>
          <w:szCs w:val="24"/>
        </w:rPr>
        <w:t>above) with a few exceptions. For services, CAFTA-DR is not available because trade with this area’s member countries cannot be separately identified. For goods on a BOP basis and for services, European Union and OPEC reflect the composition of the areas at the time of reporting.</w:t>
      </w:r>
    </w:p>
    <w:p w14:paraId="5ABFAA51" w14:textId="77777777" w:rsidR="001705DB" w:rsidRPr="00F1113D" w:rsidRDefault="001705DB" w:rsidP="001705DB">
      <w:pPr>
        <w:spacing w:after="0"/>
        <w:ind w:left="-360"/>
        <w:rPr>
          <w:rFonts w:ascii="Arial" w:hAnsi="Arial" w:cs="Arial"/>
          <w:b/>
          <w:bCs/>
          <w:i/>
          <w:sz w:val="24"/>
          <w:szCs w:val="24"/>
        </w:rPr>
      </w:pPr>
      <w:r w:rsidRPr="00F1113D">
        <w:rPr>
          <w:rFonts w:ascii="Arial" w:hAnsi="Arial" w:cs="Arial"/>
          <w:b/>
          <w:bCs/>
          <w:i/>
          <w:sz w:val="24"/>
          <w:szCs w:val="24"/>
        </w:rPr>
        <w:t>R</w:t>
      </w:r>
      <w:r>
        <w:rPr>
          <w:rFonts w:ascii="Arial" w:hAnsi="Arial" w:cs="Arial"/>
          <w:b/>
          <w:bCs/>
          <w:i/>
          <w:sz w:val="24"/>
          <w:szCs w:val="24"/>
        </w:rPr>
        <w:t xml:space="preserve">evision </w:t>
      </w:r>
      <w:r w:rsidRPr="00F1113D">
        <w:rPr>
          <w:rFonts w:ascii="Arial" w:hAnsi="Arial" w:cs="Arial"/>
          <w:b/>
          <w:bCs/>
          <w:i/>
          <w:sz w:val="24"/>
          <w:szCs w:val="24"/>
        </w:rPr>
        <w:t>P</w:t>
      </w:r>
      <w:r>
        <w:rPr>
          <w:rFonts w:ascii="Arial" w:hAnsi="Arial" w:cs="Arial"/>
          <w:b/>
          <w:bCs/>
          <w:i/>
          <w:sz w:val="24"/>
          <w:szCs w:val="24"/>
        </w:rPr>
        <w:t>rocedure</w:t>
      </w:r>
      <w:r w:rsidRPr="00F1113D">
        <w:rPr>
          <w:rFonts w:ascii="Arial" w:hAnsi="Arial" w:cs="Arial"/>
          <w:b/>
          <w:bCs/>
          <w:i/>
          <w:sz w:val="24"/>
          <w:szCs w:val="24"/>
        </w:rPr>
        <w:t xml:space="preserve"> (G</w:t>
      </w:r>
      <w:r>
        <w:rPr>
          <w:rFonts w:ascii="Arial" w:hAnsi="Arial" w:cs="Arial"/>
          <w:b/>
          <w:bCs/>
          <w:i/>
          <w:sz w:val="24"/>
          <w:szCs w:val="24"/>
        </w:rPr>
        <w:t>oods</w:t>
      </w:r>
      <w:r w:rsidRPr="00F1113D">
        <w:rPr>
          <w:rFonts w:ascii="Arial" w:hAnsi="Arial" w:cs="Arial"/>
          <w:b/>
          <w:bCs/>
          <w:i/>
          <w:sz w:val="24"/>
          <w:szCs w:val="24"/>
        </w:rPr>
        <w:t xml:space="preserve"> </w:t>
      </w:r>
      <w:r>
        <w:rPr>
          <w:rFonts w:ascii="Arial" w:hAnsi="Arial" w:cs="Arial"/>
          <w:b/>
          <w:bCs/>
          <w:i/>
          <w:sz w:val="24"/>
          <w:szCs w:val="24"/>
        </w:rPr>
        <w:t>on a</w:t>
      </w:r>
      <w:r w:rsidRPr="00F1113D">
        <w:rPr>
          <w:rFonts w:ascii="Arial" w:hAnsi="Arial" w:cs="Arial"/>
          <w:b/>
          <w:bCs/>
          <w:i/>
          <w:sz w:val="24"/>
          <w:szCs w:val="24"/>
        </w:rPr>
        <w:t xml:space="preserve"> BOP B</w:t>
      </w:r>
      <w:r>
        <w:rPr>
          <w:rFonts w:ascii="Arial" w:hAnsi="Arial" w:cs="Arial"/>
          <w:b/>
          <w:bCs/>
          <w:i/>
          <w:sz w:val="24"/>
          <w:szCs w:val="24"/>
        </w:rPr>
        <w:t>asis and Services)</w:t>
      </w:r>
    </w:p>
    <w:p w14:paraId="05F5C93C"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Monthly Revisions</w:t>
      </w:r>
      <w:r w:rsidRPr="001172C9">
        <w:rPr>
          <w:rFonts w:ascii="Times New Roman" w:hAnsi="Times New Roman" w:cs="Times New Roman"/>
          <w:bCs/>
          <w:sz w:val="24"/>
          <w:szCs w:val="24"/>
        </w:rPr>
        <w:t>:</w:t>
      </w:r>
      <w:r w:rsidRPr="00DE1D40">
        <w:rPr>
          <w:rFonts w:ascii="Times New Roman" w:hAnsi="Times New Roman" w:cs="Times New Roman"/>
          <w:sz w:val="24"/>
          <w:szCs w:val="24"/>
        </w:rPr>
        <w:t xml:space="preserve"> </w:t>
      </w:r>
      <w:r w:rsidRPr="00C17602">
        <w:rPr>
          <w:rFonts w:ascii="Times New Roman" w:hAnsi="Times New Roman" w:cs="Times New Roman"/>
          <w:sz w:val="24"/>
          <w:szCs w:val="24"/>
        </w:rPr>
        <w:t>Each month, a preliminary estimate for the current month and a revised estimate for the immediately preceding month are released. After the initial revision, no further revisions are made to a month until more complete source data become available in March, June, September, and December.</w:t>
      </w:r>
    </w:p>
    <w:p w14:paraId="4135B42D"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sz w:val="24"/>
          <w:szCs w:val="24"/>
        </w:rPr>
        <w:t>Quarterly Revisions</w:t>
      </w:r>
      <w:r w:rsidRPr="00DE1D40">
        <w:rPr>
          <w:rFonts w:ascii="Times New Roman" w:hAnsi="Times New Roman" w:cs="Times New Roman"/>
          <w:sz w:val="24"/>
          <w:szCs w:val="24"/>
        </w:rPr>
        <w:t xml:space="preserve">: </w:t>
      </w:r>
      <w:r w:rsidRPr="00C17602">
        <w:rPr>
          <w:rFonts w:ascii="Times New Roman" w:hAnsi="Times New Roman" w:cs="Times New Roman"/>
          <w:sz w:val="24"/>
          <w:szCs w:val="24"/>
        </w:rPr>
        <w:t>The releases in March, June, September, and December contain revised estimates for the previous six months to incorporate more comprehensive and updated source data.</w:t>
      </w:r>
    </w:p>
    <w:p w14:paraId="444DF0B9"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sz w:val="24"/>
          <w:szCs w:val="24"/>
        </w:rPr>
        <w:t>Annual Revisions</w:t>
      </w:r>
      <w:r w:rsidRPr="00C17602">
        <w:rPr>
          <w:rFonts w:ascii="Times New Roman" w:hAnsi="Times New Roman" w:cs="Times New Roman"/>
          <w:sz w:val="24"/>
          <w:szCs w:val="24"/>
        </w:rPr>
        <w:t>: Each June, historical data are revised to incorporate newly available and revised source data, changes in definitions and classifications, and changes in estimation methods. Seasonally adjusted data are also revised to reflect recalculated seasonal and trading-day adjustments.</w:t>
      </w:r>
    </w:p>
    <w:p w14:paraId="7D18C2E5" w14:textId="77777777" w:rsidR="001705DB"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sz w:val="24"/>
          <w:szCs w:val="24"/>
        </w:rPr>
        <w:t>Other Revisions</w:t>
      </w:r>
      <w:r w:rsidRPr="00C17602">
        <w:rPr>
          <w:rFonts w:ascii="Times New Roman" w:hAnsi="Times New Roman" w:cs="Times New Roman"/>
          <w:sz w:val="24"/>
          <w:szCs w:val="24"/>
        </w:rPr>
        <w:t xml:space="preserve">: The release in </w:t>
      </w:r>
      <w:r>
        <w:rPr>
          <w:rFonts w:ascii="Times New Roman" w:hAnsi="Times New Roman" w:cs="Times New Roman"/>
          <w:sz w:val="24"/>
          <w:szCs w:val="24"/>
        </w:rPr>
        <w:t>February</w:t>
      </w:r>
      <w:r w:rsidRPr="00C17602">
        <w:rPr>
          <w:rFonts w:ascii="Times New Roman" w:hAnsi="Times New Roman" w:cs="Times New Roman"/>
          <w:sz w:val="24"/>
          <w:szCs w:val="24"/>
        </w:rPr>
        <w:t xml:space="preserve"> contains revisions to goods for January through November of the most recent year</w:t>
      </w:r>
      <w:r>
        <w:rPr>
          <w:rFonts w:ascii="Times New Roman" w:hAnsi="Times New Roman" w:cs="Times New Roman"/>
          <w:sz w:val="24"/>
          <w:szCs w:val="24"/>
        </w:rPr>
        <w:t>;</w:t>
      </w:r>
      <w:r w:rsidRPr="00C17602">
        <w:rPr>
          <w:rFonts w:ascii="Times New Roman" w:hAnsi="Times New Roman" w:cs="Times New Roman"/>
          <w:sz w:val="24"/>
          <w:szCs w:val="24"/>
        </w:rPr>
        <w:t xml:space="preserve"> the release in March contains revisions to both goods and services for all months of the most recent year. These revisions result from forcing the seasonally adjusted months to equal the annual totals.</w:t>
      </w:r>
    </w:p>
    <w:p w14:paraId="39F9B54A" w14:textId="77777777" w:rsidR="001705DB" w:rsidRPr="001C38C3" w:rsidRDefault="001705DB" w:rsidP="001705DB">
      <w:pPr>
        <w:spacing w:after="0"/>
        <w:ind w:left="-360"/>
        <w:rPr>
          <w:rFonts w:ascii="Arial" w:hAnsi="Arial" w:cs="Arial"/>
          <w:b/>
          <w:sz w:val="24"/>
          <w:szCs w:val="24"/>
        </w:rPr>
      </w:pPr>
      <w:r>
        <w:rPr>
          <w:rFonts w:ascii="Arial" w:hAnsi="Arial" w:cs="Arial"/>
          <w:b/>
          <w:sz w:val="24"/>
          <w:szCs w:val="24"/>
        </w:rPr>
        <w:t>Data Availability</w:t>
      </w:r>
    </w:p>
    <w:p w14:paraId="3BACB984" w14:textId="42CB19FC" w:rsidR="001705DB" w:rsidRPr="00415EAA"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 xml:space="preserve">The U.S. International Trade in Goods and Services news release (FT-900) and the FT-900 Supplement </w:t>
      </w:r>
      <w:r>
        <w:rPr>
          <w:rFonts w:ascii="Times New Roman" w:hAnsi="Times New Roman" w:cs="Times New Roman"/>
          <w:sz w:val="24"/>
          <w:szCs w:val="24"/>
        </w:rPr>
        <w:t>are available at</w:t>
      </w:r>
      <w:r w:rsidRPr="00B60655">
        <w:rPr>
          <w:rFonts w:ascii="Times New Roman" w:hAnsi="Times New Roman" w:cs="Times New Roman"/>
          <w:sz w:val="24"/>
          <w:szCs w:val="24"/>
        </w:rPr>
        <w:t xml:space="preserve"> </w:t>
      </w:r>
      <w:hyperlink r:id="rId31" w:history="1">
        <w:r w:rsidRPr="00C17602">
          <w:rPr>
            <w:rStyle w:val="Hyperlink"/>
            <w:rFonts w:ascii="Times New Roman" w:hAnsi="Times New Roman" w:cs="Times New Roman"/>
            <w:sz w:val="24"/>
            <w:szCs w:val="24"/>
          </w:rPr>
          <w:t>www.census.gov/ft900</w:t>
        </w:r>
      </w:hyperlink>
      <w:r>
        <w:rPr>
          <w:rFonts w:ascii="Times New Roman" w:hAnsi="Times New Roman" w:cs="Times New Roman"/>
          <w:sz w:val="24"/>
          <w:szCs w:val="24"/>
        </w:rPr>
        <w:t xml:space="preserve"> or </w:t>
      </w:r>
      <w:hyperlink r:id="rId32" w:history="1">
        <w:r w:rsidRPr="00C17602">
          <w:rPr>
            <w:rStyle w:val="Hyperlink"/>
            <w:rFonts w:ascii="Times New Roman" w:hAnsi="Times New Roman" w:cs="Times New Roman"/>
            <w:sz w:val="24"/>
            <w:szCs w:val="24"/>
          </w:rPr>
          <w:t>www.bea.gov/newsreleases/international/trade/tradnewsrelease.htm</w:t>
        </w:r>
      </w:hyperlink>
      <w:r>
        <w:rPr>
          <w:rFonts w:ascii="Times New Roman" w:hAnsi="Times New Roman" w:cs="Times New Roman"/>
          <w:sz w:val="24"/>
          <w:szCs w:val="24"/>
        </w:rPr>
        <w:t>.</w:t>
      </w:r>
    </w:p>
    <w:p w14:paraId="368A03BD" w14:textId="65834F6D" w:rsidR="00713F17" w:rsidRPr="00713F17" w:rsidRDefault="00713F17" w:rsidP="00713F17">
      <w:pPr>
        <w:spacing w:after="0"/>
        <w:ind w:left="-360"/>
        <w:rPr>
          <w:rFonts w:ascii="Arial" w:hAnsi="Arial" w:cs="Arial"/>
          <w:b/>
          <w:bCs/>
          <w:i/>
          <w:iCs/>
          <w:sz w:val="24"/>
          <w:szCs w:val="24"/>
        </w:rPr>
      </w:pPr>
      <w:r w:rsidRPr="00713F17">
        <w:rPr>
          <w:rFonts w:ascii="Arial" w:hAnsi="Arial" w:cs="Arial"/>
          <w:b/>
          <w:bCs/>
          <w:i/>
          <w:iCs/>
          <w:sz w:val="24"/>
          <w:szCs w:val="24"/>
        </w:rPr>
        <w:t>Resources</w:t>
      </w:r>
    </w:p>
    <w:p w14:paraId="6C55CA6D" w14:textId="2ED69EFD" w:rsidR="001705DB" w:rsidRDefault="001705DB" w:rsidP="001705DB">
      <w:pPr>
        <w:spacing w:after="120"/>
        <w:ind w:left="-360"/>
        <w:rPr>
          <w:rFonts w:ascii="Times New Roman" w:hAnsi="Times New Roman" w:cs="Times New Roman"/>
          <w:sz w:val="24"/>
          <w:szCs w:val="24"/>
        </w:rPr>
      </w:pPr>
      <w:r w:rsidRPr="00FF2315">
        <w:rPr>
          <w:rFonts w:ascii="Times New Roman" w:hAnsi="Times New Roman" w:cs="Times New Roman"/>
          <w:b/>
          <w:sz w:val="24"/>
          <w:szCs w:val="24"/>
        </w:rPr>
        <w:t>Census Bureau’s Application Programming Interface (</w:t>
      </w:r>
      <w:r w:rsidRPr="00FE0307">
        <w:rPr>
          <w:rFonts w:ascii="Times New Roman" w:hAnsi="Times New Roman" w:cs="Times New Roman"/>
          <w:b/>
          <w:sz w:val="24"/>
          <w:szCs w:val="24"/>
        </w:rPr>
        <w:t>API)</w:t>
      </w:r>
      <w:r>
        <w:rPr>
          <w:rFonts w:ascii="Times New Roman" w:hAnsi="Times New Roman" w:cs="Times New Roman"/>
          <w:sz w:val="24"/>
          <w:szCs w:val="24"/>
        </w:rPr>
        <w:t xml:space="preserve">: </w:t>
      </w:r>
      <w:r w:rsidRPr="005B61C2">
        <w:rPr>
          <w:rFonts w:ascii="Times New Roman" w:hAnsi="Times New Roman" w:cs="Times New Roman"/>
          <w:sz w:val="24"/>
          <w:szCs w:val="24"/>
        </w:rPr>
        <w:t xml:space="preserve">The Census </w:t>
      </w:r>
      <w:r w:rsidRPr="003E238D">
        <w:rPr>
          <w:rFonts w:ascii="Times New Roman" w:hAnsi="Times New Roman" w:cs="Times New Roman"/>
          <w:sz w:val="24"/>
          <w:szCs w:val="24"/>
        </w:rPr>
        <w:t>Bureau’s</w:t>
      </w:r>
      <w:r>
        <w:rPr>
          <w:rFonts w:ascii="Times New Roman" w:hAnsi="Times New Roman" w:cs="Times New Roman"/>
          <w:b/>
          <w:sz w:val="24"/>
          <w:szCs w:val="24"/>
        </w:rPr>
        <w:t xml:space="preserve"> </w:t>
      </w:r>
      <w:r>
        <w:rPr>
          <w:rFonts w:ascii="Times New Roman" w:hAnsi="Times New Roman" w:cs="Times New Roman"/>
          <w:sz w:val="24"/>
          <w:szCs w:val="24"/>
        </w:rPr>
        <w:t xml:space="preserve">API, available at </w:t>
      </w:r>
      <w:hyperlink r:id="rId33" w:history="1">
        <w:r w:rsidRPr="00E53A3F">
          <w:rPr>
            <w:rStyle w:val="Hyperlink"/>
            <w:rFonts w:ascii="Times New Roman" w:hAnsi="Times New Roman" w:cs="Times New Roman"/>
            <w:sz w:val="24"/>
            <w:szCs w:val="24"/>
          </w:rPr>
          <w:t>www.census.gov/developers/</w:t>
        </w:r>
      </w:hyperlink>
      <w:r>
        <w:rPr>
          <w:rFonts w:ascii="Times New Roman" w:hAnsi="Times New Roman" w:cs="Times New Roman"/>
          <w:sz w:val="24"/>
          <w:szCs w:val="24"/>
        </w:rPr>
        <w:t xml:space="preserve">, </w:t>
      </w:r>
      <w:r w:rsidRPr="005B61C2">
        <w:rPr>
          <w:rFonts w:ascii="Times New Roman" w:hAnsi="Times New Roman" w:cs="Times New Roman"/>
          <w:sz w:val="24"/>
          <w:szCs w:val="24"/>
        </w:rPr>
        <w:t>lets developers create custom apps to reach new users and makes key demographic, socio-economic</w:t>
      </w:r>
      <w:r>
        <w:rPr>
          <w:rFonts w:ascii="Times New Roman" w:hAnsi="Times New Roman" w:cs="Times New Roman"/>
          <w:sz w:val="24"/>
          <w:szCs w:val="24"/>
        </w:rPr>
        <w:t>,</w:t>
      </w:r>
      <w:r w:rsidRPr="005B61C2">
        <w:rPr>
          <w:rFonts w:ascii="Times New Roman" w:hAnsi="Times New Roman" w:cs="Times New Roman"/>
          <w:sz w:val="24"/>
          <w:szCs w:val="24"/>
        </w:rPr>
        <w:t xml:space="preserve"> and housing statistics more accessible than ever before.</w:t>
      </w:r>
    </w:p>
    <w:p w14:paraId="70CD33FA" w14:textId="542F5893" w:rsidR="001705DB" w:rsidRDefault="001705DB" w:rsidP="00A54FA6">
      <w:pPr>
        <w:spacing w:after="120"/>
        <w:ind w:left="-360"/>
        <w:rPr>
          <w:rFonts w:ascii="Times New Roman" w:hAnsi="Times New Roman" w:cs="Times New Roman"/>
          <w:sz w:val="24"/>
          <w:szCs w:val="24"/>
        </w:rPr>
      </w:pPr>
      <w:r w:rsidRPr="00FF2315">
        <w:rPr>
          <w:rFonts w:ascii="Times New Roman" w:hAnsi="Times New Roman" w:cs="Times New Roman"/>
          <w:b/>
          <w:sz w:val="24"/>
          <w:szCs w:val="24"/>
        </w:rPr>
        <w:t>BEA’s Data API</w:t>
      </w:r>
      <w:r>
        <w:rPr>
          <w:rFonts w:ascii="Times New Roman" w:hAnsi="Times New Roman" w:cs="Times New Roman"/>
          <w:sz w:val="24"/>
          <w:szCs w:val="24"/>
        </w:rPr>
        <w:t xml:space="preserve">: BEA’s data API, available at </w:t>
      </w:r>
      <w:hyperlink r:id="rId34" w:history="1">
        <w:r w:rsidRPr="00FE0307">
          <w:rPr>
            <w:rStyle w:val="Hyperlink"/>
            <w:rFonts w:ascii="Times New Roman" w:hAnsi="Times New Roman" w:cs="Times New Roman"/>
            <w:sz w:val="24"/>
            <w:szCs w:val="24"/>
          </w:rPr>
          <w:t>www.bea.gov/API/signup/index.cfm</w:t>
        </w:r>
      </w:hyperlink>
      <w:r>
        <w:rPr>
          <w:rFonts w:ascii="Times New Roman" w:hAnsi="Times New Roman" w:cs="Times New Roman"/>
          <w:sz w:val="24"/>
          <w:szCs w:val="24"/>
        </w:rPr>
        <w:t>, provides programmatic access to BEA’s published economic statistics using industry-standard methods and procedures.</w:t>
      </w:r>
    </w:p>
    <w:p w14:paraId="59172896" w14:textId="77777777" w:rsidR="00713F17" w:rsidRPr="00713F17" w:rsidRDefault="00713F17" w:rsidP="00713F17">
      <w:pPr>
        <w:spacing w:after="0"/>
        <w:ind w:left="-360"/>
        <w:rPr>
          <w:rFonts w:ascii="Times New Roman" w:hAnsi="Times New Roman" w:cs="Times New Roman"/>
          <w:b/>
          <w:sz w:val="24"/>
          <w:szCs w:val="24"/>
        </w:rPr>
      </w:pPr>
      <w:r w:rsidRPr="00713F17">
        <w:rPr>
          <w:rFonts w:ascii="Times New Roman" w:hAnsi="Times New Roman" w:cs="Times New Roman"/>
          <w:b/>
          <w:sz w:val="24"/>
          <w:szCs w:val="24"/>
        </w:rPr>
        <w:t>FRED Mobile App</w:t>
      </w:r>
    </w:p>
    <w:p w14:paraId="687CE1A6" w14:textId="3739CD40" w:rsidR="00713F17" w:rsidRDefault="00713F17" w:rsidP="00713F17">
      <w:pPr>
        <w:spacing w:after="0"/>
        <w:ind w:left="-360"/>
        <w:rPr>
          <w:rFonts w:ascii="Times New Roman" w:hAnsi="Times New Roman" w:cs="Times New Roman"/>
          <w:sz w:val="24"/>
          <w:szCs w:val="24"/>
        </w:rPr>
      </w:pPr>
      <w:r w:rsidRPr="00713F17">
        <w:rPr>
          <w:rFonts w:ascii="Times New Roman" w:hAnsi="Times New Roman" w:cs="Times New Roman"/>
          <w:noProof/>
          <w:sz w:val="24"/>
          <w:szCs w:val="24"/>
        </w:rPr>
        <w:drawing>
          <wp:anchor distT="0" distB="0" distL="114300" distR="114300" simplePos="0" relativeHeight="251662336" behindDoc="0" locked="0" layoutInCell="1" allowOverlap="1" wp14:anchorId="19E9915F" wp14:editId="307AAADA">
            <wp:simplePos x="0" y="0"/>
            <wp:positionH relativeFrom="column">
              <wp:posOffset>-238125</wp:posOffset>
            </wp:positionH>
            <wp:positionV relativeFrom="paragraph">
              <wp:posOffset>163195</wp:posOffset>
            </wp:positionV>
            <wp:extent cx="1330325" cy="447675"/>
            <wp:effectExtent l="0" t="0" r="3175" b="9525"/>
            <wp:wrapSquare wrapText="bothSides"/>
            <wp:docPr id="2" name="Picture 2" descr="C:\Users\rebur001\AppData\Local\Temp\wz1d64\F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bur001\AppData\Local\Temp\wz1d64\FRED.jp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33032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3F17">
        <w:rPr>
          <w:rFonts w:ascii="Times New Roman" w:hAnsi="Times New Roman" w:cs="Times New Roman"/>
          <w:sz w:val="24"/>
          <w:szCs w:val="24"/>
        </w:rPr>
        <w:t>Receive the latest updates on the nation’s key economic indicators by downloading the FRED App &lt;</w:t>
      </w:r>
      <w:hyperlink r:id="rId36" w:history="1">
        <w:r w:rsidRPr="00713F17">
          <w:rPr>
            <w:rStyle w:val="Hyperlink"/>
            <w:rFonts w:ascii="Times New Roman" w:hAnsi="Times New Roman" w:cs="Times New Roman"/>
            <w:sz w:val="24"/>
            <w:szCs w:val="24"/>
          </w:rPr>
          <w:t>https://fred.stlouisfed.org/fred-mobile/</w:t>
        </w:r>
      </w:hyperlink>
      <w:r w:rsidRPr="00713F17">
        <w:rPr>
          <w:rFonts w:ascii="Times New Roman" w:hAnsi="Times New Roman" w:cs="Times New Roman"/>
          <w:sz w:val="24"/>
          <w:szCs w:val="24"/>
        </w:rPr>
        <w:t>&gt; for b</w:t>
      </w:r>
      <w:r w:rsidR="004E599A">
        <w:rPr>
          <w:rFonts w:ascii="Times New Roman" w:hAnsi="Times New Roman" w:cs="Times New Roman"/>
          <w:sz w:val="24"/>
          <w:szCs w:val="24"/>
        </w:rPr>
        <w:t xml:space="preserve">oth Apple and Android devices. </w:t>
      </w:r>
      <w:r w:rsidRPr="00713F17">
        <w:rPr>
          <w:rFonts w:ascii="Times New Roman" w:hAnsi="Times New Roman" w:cs="Times New Roman"/>
          <w:sz w:val="24"/>
          <w:szCs w:val="24"/>
        </w:rPr>
        <w:t>FRED, the signature database of the Federal Reserve Bank of St. Louis, now incorporates the Census Bureau’s 13 economic indicators.</w:t>
      </w:r>
    </w:p>
    <w:p w14:paraId="14EE13A8" w14:textId="77777777" w:rsidR="001705DB" w:rsidRDefault="001705DB" w:rsidP="001705DB">
      <w:pPr>
        <w:spacing w:after="0"/>
        <w:ind w:left="-360"/>
        <w:rPr>
          <w:rFonts w:ascii="Times New Roman" w:hAnsi="Times New Roman" w:cs="Times New Roman"/>
          <w:sz w:val="24"/>
          <w:szCs w:val="24"/>
        </w:rPr>
      </w:pPr>
    </w:p>
    <w:p w14:paraId="66887099" w14:textId="3E947B69" w:rsidR="00442812" w:rsidRPr="0051036D" w:rsidRDefault="00BB347F" w:rsidP="00A54FA6">
      <w:pPr>
        <w:rPr>
          <w:rFonts w:ascii="Times New Roman" w:hAnsi="Times New Roman" w:cs="Times New Roman"/>
          <w:b/>
          <w:sz w:val="34"/>
          <w:szCs w:val="34"/>
        </w:rPr>
      </w:pPr>
      <w:r>
        <w:rPr>
          <w:rFonts w:cs="Times New Roman"/>
          <w:sz w:val="24"/>
          <w:szCs w:val="24"/>
        </w:rPr>
        <w:br w:type="page"/>
      </w:r>
      <w:r w:rsidR="003C7D75">
        <w:rPr>
          <w:rFonts w:ascii="Times New Roman" w:hAnsi="Times New Roman" w:cs="Times New Roman"/>
          <w:b/>
          <w:sz w:val="34"/>
          <w:szCs w:val="34"/>
        </w:rPr>
        <w:t>List of News Release Exhibits</w:t>
      </w:r>
    </w:p>
    <w:p w14:paraId="682722B5" w14:textId="77777777" w:rsidR="001964EE" w:rsidRPr="001964EE" w:rsidRDefault="001964EE" w:rsidP="001172C9">
      <w:pPr>
        <w:spacing w:after="120"/>
        <w:ind w:left="-360"/>
        <w:rPr>
          <w:rFonts w:ascii="Times New Roman" w:hAnsi="Times New Roman" w:cs="Times New Roman"/>
          <w:b/>
          <w:szCs w:val="16"/>
          <w:u w:val="single"/>
        </w:rPr>
      </w:pPr>
      <w:r w:rsidRPr="001964EE">
        <w:rPr>
          <w:rFonts w:ascii="Times New Roman" w:hAnsi="Times New Roman" w:cs="Times New Roman"/>
          <w:b/>
          <w:szCs w:val="16"/>
          <w:u w:val="single"/>
        </w:rPr>
        <w:t>Part A: Seasonally Adjusted (by Commodity/Service)</w:t>
      </w:r>
    </w:p>
    <w:p w14:paraId="406B5EFB" w14:textId="103F6CB7" w:rsidR="001964EE" w:rsidRPr="001964EE" w:rsidRDefault="00105DB6" w:rsidP="001172C9">
      <w:pPr>
        <w:spacing w:after="0"/>
        <w:ind w:left="-360"/>
        <w:rPr>
          <w:rFonts w:ascii="Times New Roman" w:hAnsi="Times New Roman" w:cs="Times New Roman"/>
          <w:szCs w:val="16"/>
        </w:rPr>
      </w:pPr>
      <w:r>
        <w:rPr>
          <w:rFonts w:ascii="Times New Roman" w:hAnsi="Times New Roman" w:cs="Times New Roman"/>
          <w:szCs w:val="16"/>
        </w:rPr>
        <w:t>Exhibit</w:t>
      </w:r>
      <w:r w:rsidR="001964EE">
        <w:rPr>
          <w:rFonts w:ascii="Times New Roman" w:hAnsi="Times New Roman" w:cs="Times New Roman"/>
          <w:szCs w:val="16"/>
        </w:rPr>
        <w:t xml:space="preserve"> 1. </w:t>
      </w:r>
      <w:r w:rsidR="001964EE" w:rsidRPr="001964EE">
        <w:rPr>
          <w:rFonts w:ascii="Times New Roman" w:hAnsi="Times New Roman" w:cs="Times New Roman"/>
          <w:szCs w:val="16"/>
        </w:rPr>
        <w:t>U.S. Internationa</w:t>
      </w:r>
      <w:r w:rsidR="00442812">
        <w:rPr>
          <w:rFonts w:ascii="Times New Roman" w:hAnsi="Times New Roman" w:cs="Times New Roman"/>
          <w:szCs w:val="16"/>
        </w:rPr>
        <w:t>l Trade in Goods and Services</w:t>
      </w:r>
    </w:p>
    <w:p w14:paraId="7227AC3B" w14:textId="2989A1A8" w:rsidR="001964EE" w:rsidRPr="001964EE" w:rsidRDefault="00105DB6" w:rsidP="001172C9">
      <w:pPr>
        <w:spacing w:after="0"/>
        <w:ind w:left="-360"/>
        <w:rPr>
          <w:rFonts w:ascii="Times New Roman" w:hAnsi="Times New Roman" w:cs="Times New Roman"/>
          <w:szCs w:val="16"/>
        </w:rPr>
      </w:pPr>
      <w:r>
        <w:rPr>
          <w:rFonts w:ascii="Times New Roman" w:hAnsi="Times New Roman" w:cs="Times New Roman"/>
          <w:szCs w:val="16"/>
        </w:rPr>
        <w:t>Exhibit</w:t>
      </w:r>
      <w:r w:rsidR="001964EE">
        <w:rPr>
          <w:rFonts w:ascii="Times New Roman" w:hAnsi="Times New Roman" w:cs="Times New Roman"/>
          <w:szCs w:val="16"/>
        </w:rPr>
        <w:t xml:space="preserve"> 2. </w:t>
      </w:r>
      <w:r w:rsidR="001964EE" w:rsidRPr="001964EE">
        <w:rPr>
          <w:rFonts w:ascii="Times New Roman" w:hAnsi="Times New Roman" w:cs="Times New Roman"/>
          <w:szCs w:val="16"/>
        </w:rPr>
        <w:t>U.S. International Trade in Goods and Service</w:t>
      </w:r>
      <w:r w:rsidR="00442812">
        <w:rPr>
          <w:rFonts w:ascii="Times New Roman" w:hAnsi="Times New Roman" w:cs="Times New Roman"/>
          <w:szCs w:val="16"/>
        </w:rPr>
        <w:t>s Three-Month Moving Averages</w:t>
      </w:r>
    </w:p>
    <w:p w14:paraId="77074698" w14:textId="5562C424" w:rsidR="001964EE" w:rsidRPr="001964EE" w:rsidRDefault="00105DB6" w:rsidP="001172C9">
      <w:pPr>
        <w:spacing w:after="0"/>
        <w:ind w:left="-360"/>
        <w:rPr>
          <w:rFonts w:ascii="Times New Roman" w:hAnsi="Times New Roman" w:cs="Times New Roman"/>
          <w:szCs w:val="16"/>
        </w:rPr>
      </w:pPr>
      <w:r>
        <w:rPr>
          <w:rFonts w:ascii="Times New Roman" w:hAnsi="Times New Roman" w:cs="Times New Roman"/>
          <w:szCs w:val="16"/>
        </w:rPr>
        <w:t>Exhibit</w:t>
      </w:r>
      <w:r w:rsidRPr="001964EE">
        <w:rPr>
          <w:rFonts w:ascii="Times New Roman" w:hAnsi="Times New Roman" w:cs="Times New Roman"/>
          <w:szCs w:val="16"/>
        </w:rPr>
        <w:t xml:space="preserve"> </w:t>
      </w:r>
      <w:r w:rsidR="001964EE" w:rsidRPr="001964EE">
        <w:rPr>
          <w:rFonts w:ascii="Times New Roman" w:hAnsi="Times New Roman" w:cs="Times New Roman"/>
          <w:szCs w:val="16"/>
        </w:rPr>
        <w:t>3</w:t>
      </w:r>
      <w:r w:rsidR="001964EE">
        <w:rPr>
          <w:rFonts w:ascii="Times New Roman" w:hAnsi="Times New Roman" w:cs="Times New Roman"/>
          <w:szCs w:val="16"/>
        </w:rPr>
        <w:t xml:space="preserve">. </w:t>
      </w:r>
      <w:r w:rsidR="001964EE" w:rsidRPr="001964EE">
        <w:rPr>
          <w:rFonts w:ascii="Times New Roman" w:hAnsi="Times New Roman" w:cs="Times New Roman"/>
          <w:szCs w:val="16"/>
        </w:rPr>
        <w:t>U.S. Exports</w:t>
      </w:r>
      <w:r w:rsidR="00442812">
        <w:rPr>
          <w:rFonts w:ascii="Times New Roman" w:hAnsi="Times New Roman" w:cs="Times New Roman"/>
          <w:szCs w:val="16"/>
        </w:rPr>
        <w:t xml:space="preserve"> of Services by Major Category</w:t>
      </w:r>
      <w:r w:rsidR="00442812">
        <w:rPr>
          <w:rFonts w:ascii="Times New Roman" w:hAnsi="Times New Roman" w:cs="Times New Roman"/>
          <w:szCs w:val="16"/>
        </w:rPr>
        <w:tab/>
      </w:r>
    </w:p>
    <w:p w14:paraId="6D2C3C76" w14:textId="43A485D6" w:rsidR="001964EE" w:rsidRPr="001964EE" w:rsidRDefault="00105DB6" w:rsidP="001172C9">
      <w:pPr>
        <w:spacing w:after="0"/>
        <w:ind w:left="-360"/>
        <w:rPr>
          <w:rFonts w:ascii="Times New Roman" w:hAnsi="Times New Roman" w:cs="Times New Roman"/>
          <w:szCs w:val="16"/>
        </w:rPr>
      </w:pPr>
      <w:r>
        <w:rPr>
          <w:rFonts w:ascii="Times New Roman" w:hAnsi="Times New Roman" w:cs="Times New Roman"/>
          <w:szCs w:val="16"/>
        </w:rPr>
        <w:t xml:space="preserve">Exhibit </w:t>
      </w:r>
      <w:r w:rsidR="001964EE">
        <w:rPr>
          <w:rFonts w:ascii="Times New Roman" w:hAnsi="Times New Roman" w:cs="Times New Roman"/>
          <w:szCs w:val="16"/>
        </w:rPr>
        <w:t xml:space="preserve">4. </w:t>
      </w:r>
      <w:r w:rsidR="001964EE" w:rsidRPr="001964EE">
        <w:rPr>
          <w:rFonts w:ascii="Times New Roman" w:hAnsi="Times New Roman" w:cs="Times New Roman"/>
          <w:szCs w:val="16"/>
        </w:rPr>
        <w:t xml:space="preserve">U.S. Imports </w:t>
      </w:r>
      <w:r w:rsidR="00442812">
        <w:rPr>
          <w:rFonts w:ascii="Times New Roman" w:hAnsi="Times New Roman" w:cs="Times New Roman"/>
          <w:szCs w:val="16"/>
        </w:rPr>
        <w:t xml:space="preserve">of Services by Major Category </w:t>
      </w:r>
    </w:p>
    <w:p w14:paraId="551875D3" w14:textId="54D0B14F" w:rsidR="001964EE" w:rsidRPr="001964EE" w:rsidRDefault="00105DB6" w:rsidP="001172C9">
      <w:pPr>
        <w:spacing w:after="0"/>
        <w:ind w:left="-360"/>
        <w:rPr>
          <w:rFonts w:ascii="Times New Roman" w:hAnsi="Times New Roman" w:cs="Times New Roman"/>
          <w:szCs w:val="16"/>
        </w:rPr>
      </w:pPr>
      <w:r>
        <w:rPr>
          <w:rFonts w:ascii="Times New Roman" w:hAnsi="Times New Roman" w:cs="Times New Roman"/>
          <w:szCs w:val="16"/>
        </w:rPr>
        <w:t xml:space="preserve">Exhibit </w:t>
      </w:r>
      <w:r w:rsidR="001964EE">
        <w:rPr>
          <w:rFonts w:ascii="Times New Roman" w:hAnsi="Times New Roman" w:cs="Times New Roman"/>
          <w:szCs w:val="16"/>
        </w:rPr>
        <w:t xml:space="preserve">5. </w:t>
      </w:r>
      <w:r w:rsidR="001964EE" w:rsidRPr="001964EE">
        <w:rPr>
          <w:rFonts w:ascii="Times New Roman" w:hAnsi="Times New Roman" w:cs="Times New Roman"/>
          <w:szCs w:val="16"/>
        </w:rPr>
        <w:t>U</w:t>
      </w:r>
      <w:r w:rsidR="00442812">
        <w:rPr>
          <w:rFonts w:ascii="Times New Roman" w:hAnsi="Times New Roman" w:cs="Times New Roman"/>
          <w:szCs w:val="16"/>
        </w:rPr>
        <w:t>.S. Trade in Goods</w:t>
      </w:r>
    </w:p>
    <w:p w14:paraId="266CFC57" w14:textId="5BB9F40D" w:rsidR="001964EE" w:rsidRPr="001964EE" w:rsidRDefault="00105DB6" w:rsidP="001172C9">
      <w:pPr>
        <w:spacing w:after="0"/>
        <w:ind w:left="-360"/>
        <w:rPr>
          <w:rFonts w:ascii="Times New Roman" w:hAnsi="Times New Roman" w:cs="Times New Roman"/>
          <w:szCs w:val="16"/>
        </w:rPr>
      </w:pPr>
      <w:r>
        <w:rPr>
          <w:rFonts w:ascii="Times New Roman" w:hAnsi="Times New Roman" w:cs="Times New Roman"/>
          <w:szCs w:val="16"/>
        </w:rPr>
        <w:t>Exhibit</w:t>
      </w:r>
      <w:r w:rsidRPr="001964EE">
        <w:rPr>
          <w:rFonts w:ascii="Times New Roman" w:hAnsi="Times New Roman" w:cs="Times New Roman"/>
          <w:szCs w:val="16"/>
        </w:rPr>
        <w:t xml:space="preserve"> </w:t>
      </w:r>
      <w:r w:rsidR="001964EE" w:rsidRPr="001964EE">
        <w:rPr>
          <w:rFonts w:ascii="Times New Roman" w:hAnsi="Times New Roman" w:cs="Times New Roman"/>
          <w:szCs w:val="16"/>
        </w:rPr>
        <w:t>6</w:t>
      </w:r>
      <w:r w:rsidR="001964EE">
        <w:rPr>
          <w:rFonts w:ascii="Times New Roman" w:hAnsi="Times New Roman" w:cs="Times New Roman"/>
          <w:szCs w:val="16"/>
        </w:rPr>
        <w:t xml:space="preserve">. </w:t>
      </w:r>
      <w:r w:rsidR="001964EE" w:rsidRPr="001964EE">
        <w:rPr>
          <w:rFonts w:ascii="Times New Roman" w:hAnsi="Times New Roman" w:cs="Times New Roman"/>
          <w:szCs w:val="16"/>
        </w:rPr>
        <w:t xml:space="preserve">U.S. Trade in Goods </w:t>
      </w:r>
      <w:r w:rsidR="00442812">
        <w:rPr>
          <w:rFonts w:ascii="Times New Roman" w:hAnsi="Times New Roman" w:cs="Times New Roman"/>
          <w:szCs w:val="16"/>
        </w:rPr>
        <w:t>by Principal End-Use Category</w:t>
      </w:r>
    </w:p>
    <w:p w14:paraId="3E196388" w14:textId="7583A639" w:rsidR="001964EE" w:rsidRPr="001964EE" w:rsidRDefault="00105DB6" w:rsidP="001172C9">
      <w:pPr>
        <w:spacing w:after="0"/>
        <w:ind w:left="-360"/>
        <w:rPr>
          <w:rFonts w:ascii="Times New Roman" w:hAnsi="Times New Roman" w:cs="Times New Roman"/>
          <w:szCs w:val="16"/>
        </w:rPr>
      </w:pPr>
      <w:r>
        <w:rPr>
          <w:rFonts w:ascii="Times New Roman" w:hAnsi="Times New Roman" w:cs="Times New Roman"/>
          <w:szCs w:val="16"/>
        </w:rPr>
        <w:t>Exhibit</w:t>
      </w:r>
      <w:r w:rsidRPr="001964EE">
        <w:rPr>
          <w:rFonts w:ascii="Times New Roman" w:hAnsi="Times New Roman" w:cs="Times New Roman"/>
          <w:szCs w:val="16"/>
        </w:rPr>
        <w:t xml:space="preserve"> </w:t>
      </w:r>
      <w:r w:rsidR="001964EE" w:rsidRPr="001964EE">
        <w:rPr>
          <w:rFonts w:ascii="Times New Roman" w:hAnsi="Times New Roman" w:cs="Times New Roman"/>
          <w:szCs w:val="16"/>
        </w:rPr>
        <w:t>7</w:t>
      </w:r>
      <w:r w:rsidR="001964EE">
        <w:rPr>
          <w:rFonts w:ascii="Times New Roman" w:hAnsi="Times New Roman" w:cs="Times New Roman"/>
          <w:szCs w:val="16"/>
        </w:rPr>
        <w:t xml:space="preserve">. </w:t>
      </w:r>
      <w:r w:rsidR="001964EE" w:rsidRPr="001964EE">
        <w:rPr>
          <w:rFonts w:ascii="Times New Roman" w:hAnsi="Times New Roman" w:cs="Times New Roman"/>
          <w:szCs w:val="16"/>
        </w:rPr>
        <w:t>U.S. Exports of Goods by E</w:t>
      </w:r>
      <w:r w:rsidR="00442812">
        <w:rPr>
          <w:rFonts w:ascii="Times New Roman" w:hAnsi="Times New Roman" w:cs="Times New Roman"/>
          <w:szCs w:val="16"/>
        </w:rPr>
        <w:t>nd-Use Category and Commodity</w:t>
      </w:r>
    </w:p>
    <w:p w14:paraId="6F0C2EA5" w14:textId="5F91562B" w:rsidR="001964EE" w:rsidRPr="001964EE" w:rsidRDefault="00105DB6" w:rsidP="001172C9">
      <w:pPr>
        <w:spacing w:after="0"/>
        <w:ind w:left="-360"/>
        <w:rPr>
          <w:rFonts w:ascii="Times New Roman" w:hAnsi="Times New Roman" w:cs="Times New Roman"/>
          <w:szCs w:val="16"/>
        </w:rPr>
      </w:pPr>
      <w:r>
        <w:rPr>
          <w:rFonts w:ascii="Times New Roman" w:hAnsi="Times New Roman" w:cs="Times New Roman"/>
          <w:szCs w:val="16"/>
        </w:rPr>
        <w:t>Exhibit</w:t>
      </w:r>
      <w:r w:rsidRPr="001964EE">
        <w:rPr>
          <w:rFonts w:ascii="Times New Roman" w:hAnsi="Times New Roman" w:cs="Times New Roman"/>
          <w:szCs w:val="16"/>
        </w:rPr>
        <w:t xml:space="preserve"> </w:t>
      </w:r>
      <w:r w:rsidR="001964EE" w:rsidRPr="001964EE">
        <w:rPr>
          <w:rFonts w:ascii="Times New Roman" w:hAnsi="Times New Roman" w:cs="Times New Roman"/>
          <w:szCs w:val="16"/>
        </w:rPr>
        <w:t>8</w:t>
      </w:r>
      <w:r w:rsidR="001964EE">
        <w:rPr>
          <w:rFonts w:ascii="Times New Roman" w:hAnsi="Times New Roman" w:cs="Times New Roman"/>
          <w:szCs w:val="16"/>
        </w:rPr>
        <w:t xml:space="preserve">. </w:t>
      </w:r>
      <w:r w:rsidR="001964EE" w:rsidRPr="001964EE">
        <w:rPr>
          <w:rFonts w:ascii="Times New Roman" w:hAnsi="Times New Roman" w:cs="Times New Roman"/>
          <w:szCs w:val="16"/>
        </w:rPr>
        <w:t>U.S. Imports of Goods by E</w:t>
      </w:r>
      <w:r w:rsidR="00442812">
        <w:rPr>
          <w:rFonts w:ascii="Times New Roman" w:hAnsi="Times New Roman" w:cs="Times New Roman"/>
          <w:szCs w:val="16"/>
        </w:rPr>
        <w:t>nd-Use Category and Commodity</w:t>
      </w:r>
    </w:p>
    <w:p w14:paraId="416672C4" w14:textId="5D09DCCB" w:rsidR="001964EE" w:rsidRPr="001964EE" w:rsidRDefault="00105DB6" w:rsidP="001172C9">
      <w:pPr>
        <w:spacing w:after="0"/>
        <w:ind w:left="-360"/>
        <w:rPr>
          <w:rFonts w:ascii="Times New Roman" w:hAnsi="Times New Roman" w:cs="Times New Roman"/>
          <w:szCs w:val="16"/>
        </w:rPr>
      </w:pPr>
      <w:r>
        <w:rPr>
          <w:rFonts w:ascii="Times New Roman" w:hAnsi="Times New Roman" w:cs="Times New Roman"/>
          <w:szCs w:val="16"/>
        </w:rPr>
        <w:t>Exhibit</w:t>
      </w:r>
      <w:r w:rsidRPr="001964EE">
        <w:rPr>
          <w:rFonts w:ascii="Times New Roman" w:hAnsi="Times New Roman" w:cs="Times New Roman"/>
          <w:szCs w:val="16"/>
        </w:rPr>
        <w:t xml:space="preserve"> </w:t>
      </w:r>
      <w:r w:rsidR="001964EE" w:rsidRPr="001964EE">
        <w:rPr>
          <w:rFonts w:ascii="Times New Roman" w:hAnsi="Times New Roman" w:cs="Times New Roman"/>
          <w:szCs w:val="16"/>
        </w:rPr>
        <w:t>9</w:t>
      </w:r>
      <w:r w:rsidR="001964EE">
        <w:rPr>
          <w:rFonts w:ascii="Times New Roman" w:hAnsi="Times New Roman" w:cs="Times New Roman"/>
          <w:szCs w:val="16"/>
        </w:rPr>
        <w:t xml:space="preserve">. </w:t>
      </w:r>
      <w:r w:rsidR="001964EE" w:rsidRPr="001964EE">
        <w:rPr>
          <w:rFonts w:ascii="Times New Roman" w:hAnsi="Times New Roman" w:cs="Times New Roman"/>
          <w:szCs w:val="16"/>
        </w:rPr>
        <w:t>U.S. Trade in Petroleum and Non-P</w:t>
      </w:r>
      <w:r w:rsidR="00442812">
        <w:rPr>
          <w:rFonts w:ascii="Times New Roman" w:hAnsi="Times New Roman" w:cs="Times New Roman"/>
          <w:szCs w:val="16"/>
        </w:rPr>
        <w:t>etroleum Products by End-Use</w:t>
      </w:r>
    </w:p>
    <w:p w14:paraId="484F24D7" w14:textId="70576E57" w:rsidR="001964EE" w:rsidRPr="001964EE" w:rsidRDefault="00105DB6" w:rsidP="001172C9">
      <w:pPr>
        <w:spacing w:after="0"/>
        <w:ind w:left="-360"/>
        <w:rPr>
          <w:rFonts w:ascii="Times New Roman" w:hAnsi="Times New Roman" w:cs="Times New Roman"/>
          <w:szCs w:val="16"/>
        </w:rPr>
      </w:pPr>
      <w:r>
        <w:rPr>
          <w:rFonts w:ascii="Times New Roman" w:hAnsi="Times New Roman" w:cs="Times New Roman"/>
          <w:szCs w:val="16"/>
        </w:rPr>
        <w:t>Exhibit</w:t>
      </w:r>
      <w:r w:rsidRPr="001964EE">
        <w:rPr>
          <w:rFonts w:ascii="Times New Roman" w:hAnsi="Times New Roman" w:cs="Times New Roman"/>
          <w:szCs w:val="16"/>
        </w:rPr>
        <w:t xml:space="preserve"> </w:t>
      </w:r>
      <w:r w:rsidR="001964EE" w:rsidRPr="001964EE">
        <w:rPr>
          <w:rFonts w:ascii="Times New Roman" w:hAnsi="Times New Roman" w:cs="Times New Roman"/>
          <w:szCs w:val="16"/>
        </w:rPr>
        <w:t>10</w:t>
      </w:r>
      <w:r w:rsidR="001964EE">
        <w:rPr>
          <w:rFonts w:ascii="Times New Roman" w:hAnsi="Times New Roman" w:cs="Times New Roman"/>
          <w:szCs w:val="16"/>
        </w:rPr>
        <w:t xml:space="preserve">. </w:t>
      </w:r>
      <w:r w:rsidR="001964EE" w:rsidRPr="001964EE">
        <w:rPr>
          <w:rFonts w:ascii="Times New Roman" w:hAnsi="Times New Roman" w:cs="Times New Roman"/>
          <w:szCs w:val="16"/>
        </w:rPr>
        <w:t>Real U.S. Trade in Goods by Principal End-Use Cat</w:t>
      </w:r>
      <w:r w:rsidR="001964EE">
        <w:rPr>
          <w:rFonts w:ascii="Times New Roman" w:hAnsi="Times New Roman" w:cs="Times New Roman"/>
          <w:szCs w:val="16"/>
        </w:rPr>
        <w:t>egory – Chained (20</w:t>
      </w:r>
      <w:r w:rsidR="00323FBE">
        <w:rPr>
          <w:rFonts w:ascii="Times New Roman" w:hAnsi="Times New Roman" w:cs="Times New Roman"/>
          <w:szCs w:val="16"/>
        </w:rPr>
        <w:t>12</w:t>
      </w:r>
      <w:r w:rsidR="001964EE">
        <w:rPr>
          <w:rFonts w:ascii="Times New Roman" w:hAnsi="Times New Roman" w:cs="Times New Roman"/>
          <w:szCs w:val="16"/>
        </w:rPr>
        <w:t>) Dollars</w:t>
      </w:r>
    </w:p>
    <w:p w14:paraId="1F451F34" w14:textId="673A736C" w:rsidR="001964EE" w:rsidRDefault="00105DB6" w:rsidP="001172C9">
      <w:pPr>
        <w:spacing w:after="120"/>
        <w:ind w:left="-360"/>
        <w:rPr>
          <w:rFonts w:ascii="Times New Roman" w:hAnsi="Times New Roman" w:cs="Times New Roman"/>
          <w:szCs w:val="16"/>
        </w:rPr>
      </w:pPr>
      <w:r>
        <w:rPr>
          <w:rFonts w:ascii="Times New Roman" w:hAnsi="Times New Roman" w:cs="Times New Roman"/>
          <w:szCs w:val="16"/>
        </w:rPr>
        <w:t>Exhibit</w:t>
      </w:r>
      <w:r w:rsidRPr="001964EE">
        <w:rPr>
          <w:rFonts w:ascii="Times New Roman" w:hAnsi="Times New Roman" w:cs="Times New Roman"/>
          <w:szCs w:val="16"/>
        </w:rPr>
        <w:t xml:space="preserve"> </w:t>
      </w:r>
      <w:r w:rsidR="001964EE" w:rsidRPr="001964EE">
        <w:rPr>
          <w:rFonts w:ascii="Times New Roman" w:hAnsi="Times New Roman" w:cs="Times New Roman"/>
          <w:szCs w:val="16"/>
        </w:rPr>
        <w:t>11</w:t>
      </w:r>
      <w:r w:rsidR="001964EE">
        <w:rPr>
          <w:rFonts w:ascii="Times New Roman" w:hAnsi="Times New Roman" w:cs="Times New Roman"/>
          <w:szCs w:val="16"/>
        </w:rPr>
        <w:t xml:space="preserve">. </w:t>
      </w:r>
      <w:r w:rsidR="001964EE" w:rsidRPr="001964EE">
        <w:rPr>
          <w:rFonts w:ascii="Times New Roman" w:hAnsi="Times New Roman" w:cs="Times New Roman"/>
          <w:szCs w:val="16"/>
        </w:rPr>
        <w:t>Real U.S. Trade in Petroleum and Non-Petroleum Products by End</w:t>
      </w:r>
      <w:r w:rsidR="001964EE">
        <w:rPr>
          <w:rFonts w:ascii="Times New Roman" w:hAnsi="Times New Roman" w:cs="Times New Roman"/>
          <w:szCs w:val="16"/>
        </w:rPr>
        <w:t>-Use – Chained (20</w:t>
      </w:r>
      <w:r w:rsidR="00323FBE">
        <w:rPr>
          <w:rFonts w:ascii="Times New Roman" w:hAnsi="Times New Roman" w:cs="Times New Roman"/>
          <w:szCs w:val="16"/>
        </w:rPr>
        <w:t>12</w:t>
      </w:r>
      <w:r w:rsidR="001964EE">
        <w:rPr>
          <w:rFonts w:ascii="Times New Roman" w:hAnsi="Times New Roman" w:cs="Times New Roman"/>
          <w:szCs w:val="16"/>
        </w:rPr>
        <w:t>) Dollars</w:t>
      </w:r>
    </w:p>
    <w:p w14:paraId="39CAD23A" w14:textId="77777777" w:rsidR="001964EE" w:rsidRPr="001964EE" w:rsidRDefault="001964EE" w:rsidP="001172C9">
      <w:pPr>
        <w:spacing w:after="120"/>
        <w:ind w:left="-360"/>
        <w:rPr>
          <w:rFonts w:ascii="Times New Roman" w:hAnsi="Times New Roman" w:cs="Times New Roman"/>
          <w:b/>
          <w:szCs w:val="16"/>
          <w:u w:val="single"/>
        </w:rPr>
      </w:pPr>
      <w:r w:rsidRPr="001964EE">
        <w:rPr>
          <w:rFonts w:ascii="Times New Roman" w:hAnsi="Times New Roman" w:cs="Times New Roman"/>
          <w:b/>
          <w:szCs w:val="16"/>
          <w:u w:val="single"/>
        </w:rPr>
        <w:t>Part B: Not Seasonally Adjusted</w:t>
      </w:r>
    </w:p>
    <w:p w14:paraId="34EFC7B9" w14:textId="68A84D39" w:rsidR="001964EE" w:rsidRPr="001964EE" w:rsidRDefault="00105DB6" w:rsidP="001172C9">
      <w:pPr>
        <w:spacing w:after="0"/>
        <w:ind w:left="-360"/>
        <w:rPr>
          <w:rFonts w:ascii="Times New Roman" w:hAnsi="Times New Roman" w:cs="Times New Roman"/>
          <w:szCs w:val="16"/>
        </w:rPr>
      </w:pPr>
      <w:r>
        <w:rPr>
          <w:rFonts w:ascii="Times New Roman" w:hAnsi="Times New Roman" w:cs="Times New Roman"/>
          <w:szCs w:val="16"/>
        </w:rPr>
        <w:t>Exhibit</w:t>
      </w:r>
      <w:r w:rsidRPr="001964EE">
        <w:rPr>
          <w:rFonts w:ascii="Times New Roman" w:hAnsi="Times New Roman" w:cs="Times New Roman"/>
          <w:szCs w:val="16"/>
        </w:rPr>
        <w:t xml:space="preserve"> </w:t>
      </w:r>
      <w:r w:rsidR="001964EE" w:rsidRPr="001964EE">
        <w:rPr>
          <w:rFonts w:ascii="Times New Roman" w:hAnsi="Times New Roman" w:cs="Times New Roman"/>
          <w:szCs w:val="16"/>
        </w:rPr>
        <w:t>12</w:t>
      </w:r>
      <w:r w:rsidR="001964EE">
        <w:rPr>
          <w:rFonts w:ascii="Times New Roman" w:hAnsi="Times New Roman" w:cs="Times New Roman"/>
          <w:szCs w:val="16"/>
        </w:rPr>
        <w:t xml:space="preserve">. </w:t>
      </w:r>
      <w:r w:rsidR="00442812">
        <w:rPr>
          <w:rFonts w:ascii="Times New Roman" w:hAnsi="Times New Roman" w:cs="Times New Roman"/>
          <w:szCs w:val="16"/>
        </w:rPr>
        <w:t>U.S. Trade in Goods</w:t>
      </w:r>
    </w:p>
    <w:p w14:paraId="6DCDD713" w14:textId="568DB608" w:rsidR="001964EE" w:rsidRPr="001964EE" w:rsidRDefault="00105DB6" w:rsidP="001172C9">
      <w:pPr>
        <w:spacing w:after="0"/>
        <w:ind w:left="-360"/>
        <w:rPr>
          <w:rFonts w:ascii="Times New Roman" w:hAnsi="Times New Roman" w:cs="Times New Roman"/>
          <w:szCs w:val="16"/>
        </w:rPr>
      </w:pPr>
      <w:r>
        <w:rPr>
          <w:rFonts w:ascii="Times New Roman" w:hAnsi="Times New Roman" w:cs="Times New Roman"/>
          <w:szCs w:val="16"/>
        </w:rPr>
        <w:t>Exhibit</w:t>
      </w:r>
      <w:r w:rsidRPr="001964EE">
        <w:rPr>
          <w:rFonts w:ascii="Times New Roman" w:hAnsi="Times New Roman" w:cs="Times New Roman"/>
          <w:szCs w:val="16"/>
        </w:rPr>
        <w:t xml:space="preserve"> </w:t>
      </w:r>
      <w:r w:rsidR="001964EE" w:rsidRPr="001964EE">
        <w:rPr>
          <w:rFonts w:ascii="Times New Roman" w:hAnsi="Times New Roman" w:cs="Times New Roman"/>
          <w:szCs w:val="16"/>
        </w:rPr>
        <w:t>13</w:t>
      </w:r>
      <w:r w:rsidR="001964EE">
        <w:rPr>
          <w:rFonts w:ascii="Times New Roman" w:hAnsi="Times New Roman" w:cs="Times New Roman"/>
          <w:szCs w:val="16"/>
        </w:rPr>
        <w:t xml:space="preserve">. </w:t>
      </w:r>
      <w:r w:rsidR="001964EE" w:rsidRPr="001964EE">
        <w:rPr>
          <w:rFonts w:ascii="Times New Roman" w:hAnsi="Times New Roman" w:cs="Times New Roman"/>
          <w:szCs w:val="16"/>
        </w:rPr>
        <w:t>U.S. Trade in Goods b</w:t>
      </w:r>
      <w:r w:rsidR="00442812">
        <w:rPr>
          <w:rFonts w:ascii="Times New Roman" w:hAnsi="Times New Roman" w:cs="Times New Roman"/>
          <w:szCs w:val="16"/>
        </w:rPr>
        <w:t>y Principal End-Use Category</w:t>
      </w:r>
    </w:p>
    <w:p w14:paraId="0CC0F010" w14:textId="60E92A65" w:rsidR="001964EE" w:rsidRPr="007E1A09" w:rsidRDefault="001C1FC2" w:rsidP="007E1A09">
      <w:pPr>
        <w:pStyle w:val="NoSpacing"/>
        <w:ind w:left="-360"/>
        <w:rPr>
          <w:rFonts w:ascii="Times New Roman" w:hAnsi="Times New Roman" w:cs="Times New Roman"/>
        </w:rPr>
      </w:pPr>
      <w:r w:rsidRPr="007E1A09">
        <w:rPr>
          <w:rFonts w:ascii="Times New Roman" w:hAnsi="Times New Roman" w:cs="Times New Roman"/>
        </w:rPr>
        <w:t>Exhibit 14. U.S. Trade in Goods by Selected Countries and Areas: 2018</w:t>
      </w:r>
    </w:p>
    <w:p w14:paraId="60C6488A" w14:textId="541270AB" w:rsidR="001964EE" w:rsidRPr="007E1A09" w:rsidRDefault="001C1FC2" w:rsidP="007E1A09">
      <w:pPr>
        <w:pStyle w:val="NoSpacing"/>
        <w:ind w:left="-360"/>
        <w:rPr>
          <w:rFonts w:ascii="Times New Roman" w:hAnsi="Times New Roman" w:cs="Times New Roman"/>
        </w:rPr>
      </w:pPr>
      <w:r w:rsidRPr="007E1A09">
        <w:rPr>
          <w:rFonts w:ascii="Times New Roman" w:hAnsi="Times New Roman" w:cs="Times New Roman"/>
        </w:rPr>
        <w:t>Exhibit 14a. U.S. Trade</w:t>
      </w:r>
      <w:r w:rsidRPr="007E1A09">
        <w:rPr>
          <w:rFonts w:ascii="Times New Roman" w:hAnsi="Times New Roman" w:cs="Times New Roman"/>
          <w:b/>
          <w:bCs/>
        </w:rPr>
        <w:t xml:space="preserve"> </w:t>
      </w:r>
      <w:r w:rsidRPr="007E1A09">
        <w:rPr>
          <w:rFonts w:ascii="Times New Roman" w:hAnsi="Times New Roman" w:cs="Times New Roman"/>
        </w:rPr>
        <w:t>in Goods by Selected Countries and Areas: 2017</w:t>
      </w:r>
    </w:p>
    <w:p w14:paraId="31D9AED9" w14:textId="02E27395" w:rsidR="001964EE" w:rsidRPr="001964EE" w:rsidRDefault="00105DB6" w:rsidP="001172C9">
      <w:pPr>
        <w:spacing w:after="0"/>
        <w:ind w:left="-360"/>
        <w:rPr>
          <w:rFonts w:ascii="Times New Roman" w:hAnsi="Times New Roman" w:cs="Times New Roman"/>
          <w:szCs w:val="16"/>
        </w:rPr>
      </w:pPr>
      <w:r>
        <w:rPr>
          <w:rFonts w:ascii="Times New Roman" w:hAnsi="Times New Roman" w:cs="Times New Roman"/>
          <w:szCs w:val="16"/>
        </w:rPr>
        <w:t>Exhibit</w:t>
      </w:r>
      <w:r w:rsidRPr="001964EE">
        <w:rPr>
          <w:rFonts w:ascii="Times New Roman" w:hAnsi="Times New Roman" w:cs="Times New Roman"/>
          <w:szCs w:val="16"/>
        </w:rPr>
        <w:t xml:space="preserve"> </w:t>
      </w:r>
      <w:r w:rsidR="001964EE" w:rsidRPr="001964EE">
        <w:rPr>
          <w:rFonts w:ascii="Times New Roman" w:hAnsi="Times New Roman" w:cs="Times New Roman"/>
          <w:szCs w:val="16"/>
        </w:rPr>
        <w:t>15</w:t>
      </w:r>
      <w:r w:rsidR="001964EE">
        <w:rPr>
          <w:rFonts w:ascii="Times New Roman" w:hAnsi="Times New Roman" w:cs="Times New Roman"/>
          <w:szCs w:val="16"/>
        </w:rPr>
        <w:t xml:space="preserve">. </w:t>
      </w:r>
      <w:r w:rsidR="001964EE" w:rsidRPr="001964EE">
        <w:rPr>
          <w:rFonts w:ascii="Times New Roman" w:hAnsi="Times New Roman" w:cs="Times New Roman"/>
          <w:szCs w:val="16"/>
        </w:rPr>
        <w:t>U.S. Trade in Go</w:t>
      </w:r>
      <w:r w:rsidR="00442812">
        <w:rPr>
          <w:rFonts w:ascii="Times New Roman" w:hAnsi="Times New Roman" w:cs="Times New Roman"/>
          <w:szCs w:val="16"/>
        </w:rPr>
        <w:t>ods by Principal Commodities</w:t>
      </w:r>
    </w:p>
    <w:p w14:paraId="07159713" w14:textId="185B8D20" w:rsidR="001964EE" w:rsidRPr="001964EE" w:rsidRDefault="00105DB6" w:rsidP="001172C9">
      <w:pPr>
        <w:spacing w:after="0"/>
        <w:ind w:left="-360"/>
        <w:rPr>
          <w:rFonts w:ascii="Times New Roman" w:hAnsi="Times New Roman" w:cs="Times New Roman"/>
          <w:szCs w:val="16"/>
        </w:rPr>
      </w:pPr>
      <w:r>
        <w:rPr>
          <w:rFonts w:ascii="Times New Roman" w:hAnsi="Times New Roman" w:cs="Times New Roman"/>
          <w:szCs w:val="16"/>
        </w:rPr>
        <w:t>Exhibit</w:t>
      </w:r>
      <w:r w:rsidRPr="001964EE">
        <w:rPr>
          <w:rFonts w:ascii="Times New Roman" w:hAnsi="Times New Roman" w:cs="Times New Roman"/>
          <w:szCs w:val="16"/>
        </w:rPr>
        <w:t xml:space="preserve"> </w:t>
      </w:r>
      <w:r w:rsidR="001964EE" w:rsidRPr="001964EE">
        <w:rPr>
          <w:rFonts w:ascii="Times New Roman" w:hAnsi="Times New Roman" w:cs="Times New Roman"/>
          <w:szCs w:val="16"/>
        </w:rPr>
        <w:t>16</w:t>
      </w:r>
      <w:r w:rsidR="001964EE">
        <w:rPr>
          <w:rFonts w:ascii="Times New Roman" w:hAnsi="Times New Roman" w:cs="Times New Roman"/>
          <w:szCs w:val="16"/>
        </w:rPr>
        <w:t xml:space="preserve">. </w:t>
      </w:r>
      <w:r w:rsidR="001964EE" w:rsidRPr="001964EE">
        <w:rPr>
          <w:rFonts w:ascii="Times New Roman" w:hAnsi="Times New Roman" w:cs="Times New Roman"/>
          <w:szCs w:val="16"/>
        </w:rPr>
        <w:t>U.S. Trade in</w:t>
      </w:r>
      <w:r w:rsidR="00442812">
        <w:rPr>
          <w:rFonts w:ascii="Times New Roman" w:hAnsi="Times New Roman" w:cs="Times New Roman"/>
          <w:szCs w:val="16"/>
        </w:rPr>
        <w:t xml:space="preserve"> Advanced Technology Products</w:t>
      </w:r>
      <w:r w:rsidR="00442812">
        <w:rPr>
          <w:rFonts w:ascii="Times New Roman" w:hAnsi="Times New Roman" w:cs="Times New Roman"/>
          <w:szCs w:val="16"/>
        </w:rPr>
        <w:tab/>
      </w:r>
    </w:p>
    <w:p w14:paraId="65AA806C" w14:textId="59BEE4E3" w:rsidR="001964EE" w:rsidRPr="001964EE" w:rsidRDefault="00105DB6" w:rsidP="001172C9">
      <w:pPr>
        <w:spacing w:after="0"/>
        <w:ind w:left="-360"/>
        <w:rPr>
          <w:rFonts w:ascii="Times New Roman" w:hAnsi="Times New Roman" w:cs="Times New Roman"/>
          <w:szCs w:val="16"/>
        </w:rPr>
      </w:pPr>
      <w:r>
        <w:rPr>
          <w:rFonts w:ascii="Times New Roman" w:hAnsi="Times New Roman" w:cs="Times New Roman"/>
          <w:szCs w:val="16"/>
        </w:rPr>
        <w:t>Exhibit</w:t>
      </w:r>
      <w:r w:rsidRPr="001964EE">
        <w:rPr>
          <w:rFonts w:ascii="Times New Roman" w:hAnsi="Times New Roman" w:cs="Times New Roman"/>
          <w:szCs w:val="16"/>
        </w:rPr>
        <w:t xml:space="preserve"> </w:t>
      </w:r>
      <w:r w:rsidR="001964EE" w:rsidRPr="001964EE">
        <w:rPr>
          <w:rFonts w:ascii="Times New Roman" w:hAnsi="Times New Roman" w:cs="Times New Roman"/>
          <w:szCs w:val="16"/>
        </w:rPr>
        <w:t>16a</w:t>
      </w:r>
      <w:r w:rsidR="001964EE">
        <w:rPr>
          <w:rFonts w:ascii="Times New Roman" w:hAnsi="Times New Roman" w:cs="Times New Roman"/>
          <w:szCs w:val="16"/>
        </w:rPr>
        <w:t xml:space="preserve">. </w:t>
      </w:r>
      <w:r w:rsidR="001964EE" w:rsidRPr="001964EE">
        <w:rPr>
          <w:rFonts w:ascii="Times New Roman" w:hAnsi="Times New Roman" w:cs="Times New Roman"/>
          <w:szCs w:val="16"/>
        </w:rPr>
        <w:t>U.S. Trade in Advanced Technology Products by Technology Group a</w:t>
      </w:r>
      <w:r w:rsidR="001964EE">
        <w:rPr>
          <w:rFonts w:ascii="Times New Roman" w:hAnsi="Times New Roman" w:cs="Times New Roman"/>
          <w:szCs w:val="16"/>
        </w:rPr>
        <w:t>nd Selected Countries and Areas</w:t>
      </w:r>
    </w:p>
    <w:p w14:paraId="590D8972" w14:textId="4EC79185" w:rsidR="001964EE" w:rsidRPr="001964EE" w:rsidRDefault="00105DB6" w:rsidP="001172C9">
      <w:pPr>
        <w:spacing w:after="0"/>
        <w:ind w:left="-360"/>
        <w:rPr>
          <w:rFonts w:ascii="Times New Roman" w:hAnsi="Times New Roman" w:cs="Times New Roman"/>
          <w:szCs w:val="16"/>
        </w:rPr>
      </w:pPr>
      <w:r>
        <w:rPr>
          <w:rFonts w:ascii="Times New Roman" w:hAnsi="Times New Roman" w:cs="Times New Roman"/>
          <w:szCs w:val="16"/>
        </w:rPr>
        <w:t>Exhibit</w:t>
      </w:r>
      <w:r w:rsidRPr="001964EE">
        <w:rPr>
          <w:rFonts w:ascii="Times New Roman" w:hAnsi="Times New Roman" w:cs="Times New Roman"/>
          <w:szCs w:val="16"/>
        </w:rPr>
        <w:t xml:space="preserve"> </w:t>
      </w:r>
      <w:r w:rsidR="001964EE" w:rsidRPr="001964EE">
        <w:rPr>
          <w:rFonts w:ascii="Times New Roman" w:hAnsi="Times New Roman" w:cs="Times New Roman"/>
          <w:szCs w:val="16"/>
        </w:rPr>
        <w:t>17</w:t>
      </w:r>
      <w:r w:rsidR="001964EE">
        <w:rPr>
          <w:rFonts w:ascii="Times New Roman" w:hAnsi="Times New Roman" w:cs="Times New Roman"/>
          <w:szCs w:val="16"/>
        </w:rPr>
        <w:t xml:space="preserve">. </w:t>
      </w:r>
      <w:r w:rsidR="001964EE" w:rsidRPr="001964EE">
        <w:rPr>
          <w:rFonts w:ascii="Times New Roman" w:hAnsi="Times New Roman" w:cs="Times New Roman"/>
          <w:szCs w:val="16"/>
        </w:rPr>
        <w:t>U.S. Imports of Energy-Related Petroleum P</w:t>
      </w:r>
      <w:r w:rsidR="00442812">
        <w:rPr>
          <w:rFonts w:ascii="Times New Roman" w:hAnsi="Times New Roman" w:cs="Times New Roman"/>
          <w:szCs w:val="16"/>
        </w:rPr>
        <w:t>roducts, Including Crude Oil</w:t>
      </w:r>
    </w:p>
    <w:p w14:paraId="775ECEED" w14:textId="2F17770C" w:rsidR="001964EE" w:rsidRPr="001964EE" w:rsidRDefault="00105DB6" w:rsidP="001172C9">
      <w:pPr>
        <w:spacing w:after="0"/>
        <w:ind w:left="-360"/>
        <w:rPr>
          <w:rFonts w:ascii="Times New Roman" w:hAnsi="Times New Roman" w:cs="Times New Roman"/>
          <w:szCs w:val="16"/>
        </w:rPr>
      </w:pPr>
      <w:r>
        <w:rPr>
          <w:rFonts w:ascii="Times New Roman" w:hAnsi="Times New Roman" w:cs="Times New Roman"/>
          <w:szCs w:val="16"/>
        </w:rPr>
        <w:t>Exhibit</w:t>
      </w:r>
      <w:r w:rsidRPr="001964EE">
        <w:rPr>
          <w:rFonts w:ascii="Times New Roman" w:hAnsi="Times New Roman" w:cs="Times New Roman"/>
          <w:szCs w:val="16"/>
        </w:rPr>
        <w:t xml:space="preserve"> </w:t>
      </w:r>
      <w:r w:rsidR="001964EE" w:rsidRPr="001964EE">
        <w:rPr>
          <w:rFonts w:ascii="Times New Roman" w:hAnsi="Times New Roman" w:cs="Times New Roman"/>
          <w:szCs w:val="16"/>
        </w:rPr>
        <w:t>17a</w:t>
      </w:r>
      <w:r w:rsidR="001964EE">
        <w:rPr>
          <w:rFonts w:ascii="Times New Roman" w:hAnsi="Times New Roman" w:cs="Times New Roman"/>
          <w:szCs w:val="16"/>
        </w:rPr>
        <w:t xml:space="preserve">. </w:t>
      </w:r>
      <w:r w:rsidR="001964EE" w:rsidRPr="001964EE">
        <w:rPr>
          <w:rFonts w:ascii="Times New Roman" w:hAnsi="Times New Roman" w:cs="Times New Roman"/>
          <w:szCs w:val="16"/>
        </w:rPr>
        <w:t>U.S. Imports of Cr</w:t>
      </w:r>
      <w:r w:rsidR="00442812">
        <w:rPr>
          <w:rFonts w:ascii="Times New Roman" w:hAnsi="Times New Roman" w:cs="Times New Roman"/>
          <w:szCs w:val="16"/>
        </w:rPr>
        <w:t>ude Oil by Selected Countries</w:t>
      </w:r>
    </w:p>
    <w:p w14:paraId="0B354540" w14:textId="2FF2DEC7" w:rsidR="001964EE" w:rsidRDefault="00105DB6" w:rsidP="001172C9">
      <w:pPr>
        <w:spacing w:after="120"/>
        <w:ind w:left="-360"/>
        <w:rPr>
          <w:rFonts w:ascii="Times New Roman" w:hAnsi="Times New Roman" w:cs="Times New Roman"/>
          <w:szCs w:val="16"/>
        </w:rPr>
      </w:pPr>
      <w:r>
        <w:rPr>
          <w:rFonts w:ascii="Times New Roman" w:hAnsi="Times New Roman" w:cs="Times New Roman"/>
          <w:szCs w:val="16"/>
        </w:rPr>
        <w:t>Exhibit</w:t>
      </w:r>
      <w:r w:rsidRPr="001964EE">
        <w:rPr>
          <w:rFonts w:ascii="Times New Roman" w:hAnsi="Times New Roman" w:cs="Times New Roman"/>
          <w:szCs w:val="16"/>
        </w:rPr>
        <w:t xml:space="preserve"> </w:t>
      </w:r>
      <w:r w:rsidR="001964EE" w:rsidRPr="001964EE">
        <w:rPr>
          <w:rFonts w:ascii="Times New Roman" w:hAnsi="Times New Roman" w:cs="Times New Roman"/>
          <w:szCs w:val="16"/>
        </w:rPr>
        <w:t>18</w:t>
      </w:r>
      <w:r w:rsidR="001964EE">
        <w:rPr>
          <w:rFonts w:ascii="Times New Roman" w:hAnsi="Times New Roman" w:cs="Times New Roman"/>
          <w:szCs w:val="16"/>
        </w:rPr>
        <w:t xml:space="preserve">. </w:t>
      </w:r>
      <w:r w:rsidR="001964EE" w:rsidRPr="001964EE">
        <w:rPr>
          <w:rFonts w:ascii="Times New Roman" w:hAnsi="Times New Roman" w:cs="Times New Roman"/>
          <w:szCs w:val="16"/>
        </w:rPr>
        <w:t>U.S. Trade in Motor Vehicles an</w:t>
      </w:r>
      <w:r w:rsidR="00442812">
        <w:rPr>
          <w:rFonts w:ascii="Times New Roman" w:hAnsi="Times New Roman" w:cs="Times New Roman"/>
          <w:szCs w:val="16"/>
        </w:rPr>
        <w:t>d Parts by Selected Countries</w:t>
      </w:r>
    </w:p>
    <w:p w14:paraId="15AE5223" w14:textId="77777777" w:rsidR="001964EE" w:rsidRPr="001964EE" w:rsidRDefault="001964EE" w:rsidP="001172C9">
      <w:pPr>
        <w:spacing w:after="120"/>
        <w:ind w:left="-360"/>
        <w:rPr>
          <w:rFonts w:ascii="Times New Roman" w:hAnsi="Times New Roman" w:cs="Times New Roman"/>
          <w:b/>
          <w:szCs w:val="16"/>
          <w:u w:val="single"/>
        </w:rPr>
      </w:pPr>
      <w:r w:rsidRPr="001964EE">
        <w:rPr>
          <w:rFonts w:ascii="Times New Roman" w:hAnsi="Times New Roman" w:cs="Times New Roman"/>
          <w:b/>
          <w:szCs w:val="16"/>
          <w:u w:val="single"/>
        </w:rPr>
        <w:t>Part C: Seasonally Adjusted (by Geography)</w:t>
      </w:r>
    </w:p>
    <w:p w14:paraId="5B91D0CB" w14:textId="042F1FF0" w:rsidR="001964EE" w:rsidRPr="001964EE" w:rsidRDefault="00105DB6" w:rsidP="001172C9">
      <w:pPr>
        <w:spacing w:after="0"/>
        <w:ind w:left="-360"/>
        <w:rPr>
          <w:rFonts w:ascii="Times New Roman" w:hAnsi="Times New Roman" w:cs="Times New Roman"/>
          <w:szCs w:val="16"/>
        </w:rPr>
      </w:pPr>
      <w:r>
        <w:rPr>
          <w:rFonts w:ascii="Times New Roman" w:hAnsi="Times New Roman" w:cs="Times New Roman"/>
          <w:szCs w:val="16"/>
        </w:rPr>
        <w:t>Exhibit</w:t>
      </w:r>
      <w:r w:rsidRPr="001964EE">
        <w:rPr>
          <w:rFonts w:ascii="Times New Roman" w:hAnsi="Times New Roman" w:cs="Times New Roman"/>
          <w:szCs w:val="16"/>
        </w:rPr>
        <w:t xml:space="preserve"> </w:t>
      </w:r>
      <w:r w:rsidR="001964EE" w:rsidRPr="001964EE">
        <w:rPr>
          <w:rFonts w:ascii="Times New Roman" w:hAnsi="Times New Roman" w:cs="Times New Roman"/>
          <w:szCs w:val="16"/>
        </w:rPr>
        <w:t>19</w:t>
      </w:r>
      <w:r w:rsidR="001964EE">
        <w:rPr>
          <w:rFonts w:ascii="Times New Roman" w:hAnsi="Times New Roman" w:cs="Times New Roman"/>
          <w:szCs w:val="16"/>
        </w:rPr>
        <w:t xml:space="preserve">. </w:t>
      </w:r>
      <w:r w:rsidR="001964EE" w:rsidRPr="001964EE">
        <w:rPr>
          <w:rFonts w:ascii="Times New Roman" w:hAnsi="Times New Roman" w:cs="Times New Roman"/>
          <w:szCs w:val="16"/>
        </w:rPr>
        <w:t>U.S. Trade in Goods by Selected Count</w:t>
      </w:r>
      <w:r w:rsidR="00442812">
        <w:rPr>
          <w:rFonts w:ascii="Times New Roman" w:hAnsi="Times New Roman" w:cs="Times New Roman"/>
          <w:szCs w:val="16"/>
        </w:rPr>
        <w:t>ries and Areas – Census Basis</w:t>
      </w:r>
      <w:r w:rsidR="00442812">
        <w:rPr>
          <w:rFonts w:ascii="Times New Roman" w:hAnsi="Times New Roman" w:cs="Times New Roman"/>
          <w:szCs w:val="16"/>
        </w:rPr>
        <w:tab/>
      </w:r>
    </w:p>
    <w:p w14:paraId="0403F1E9" w14:textId="70F9332C" w:rsidR="001964EE" w:rsidRPr="001964EE" w:rsidRDefault="00105DB6" w:rsidP="001172C9">
      <w:pPr>
        <w:spacing w:after="0"/>
        <w:ind w:left="-360"/>
        <w:rPr>
          <w:rFonts w:ascii="Times New Roman" w:hAnsi="Times New Roman" w:cs="Times New Roman"/>
          <w:szCs w:val="16"/>
        </w:rPr>
      </w:pPr>
      <w:r>
        <w:rPr>
          <w:rFonts w:ascii="Times New Roman" w:hAnsi="Times New Roman" w:cs="Times New Roman"/>
          <w:szCs w:val="16"/>
        </w:rPr>
        <w:t>Exhibit</w:t>
      </w:r>
      <w:r w:rsidRPr="001964EE">
        <w:rPr>
          <w:rFonts w:ascii="Times New Roman" w:hAnsi="Times New Roman" w:cs="Times New Roman"/>
          <w:szCs w:val="16"/>
        </w:rPr>
        <w:t xml:space="preserve"> </w:t>
      </w:r>
      <w:r w:rsidR="001964EE" w:rsidRPr="001964EE">
        <w:rPr>
          <w:rFonts w:ascii="Times New Roman" w:hAnsi="Times New Roman" w:cs="Times New Roman"/>
          <w:szCs w:val="16"/>
        </w:rPr>
        <w:t>20</w:t>
      </w:r>
      <w:r w:rsidR="001964EE">
        <w:rPr>
          <w:rFonts w:ascii="Times New Roman" w:hAnsi="Times New Roman" w:cs="Times New Roman"/>
          <w:szCs w:val="16"/>
        </w:rPr>
        <w:t xml:space="preserve">. </w:t>
      </w:r>
      <w:r w:rsidR="001964EE" w:rsidRPr="001964EE">
        <w:rPr>
          <w:rFonts w:ascii="Times New Roman" w:hAnsi="Times New Roman" w:cs="Times New Roman"/>
          <w:szCs w:val="16"/>
        </w:rPr>
        <w:t>U.S. Trade in Goods and Services by Selected Co</w:t>
      </w:r>
      <w:r w:rsidR="00442812">
        <w:rPr>
          <w:rFonts w:ascii="Times New Roman" w:hAnsi="Times New Roman" w:cs="Times New Roman"/>
          <w:szCs w:val="16"/>
        </w:rPr>
        <w:t>untries and Areas – BOP Basis</w:t>
      </w:r>
      <w:r w:rsidR="00442812">
        <w:rPr>
          <w:rFonts w:ascii="Times New Roman" w:hAnsi="Times New Roman" w:cs="Times New Roman"/>
          <w:szCs w:val="16"/>
        </w:rPr>
        <w:tab/>
      </w:r>
    </w:p>
    <w:p w14:paraId="26643C48" w14:textId="08723609" w:rsidR="001964EE" w:rsidRPr="001964EE" w:rsidRDefault="00105DB6" w:rsidP="001172C9">
      <w:pPr>
        <w:spacing w:after="0"/>
        <w:ind w:left="-360"/>
        <w:rPr>
          <w:rFonts w:ascii="Times New Roman" w:hAnsi="Times New Roman" w:cs="Times New Roman"/>
          <w:szCs w:val="16"/>
        </w:rPr>
      </w:pPr>
      <w:r>
        <w:rPr>
          <w:rFonts w:ascii="Times New Roman" w:hAnsi="Times New Roman" w:cs="Times New Roman"/>
          <w:szCs w:val="16"/>
        </w:rPr>
        <w:t>Exhibit</w:t>
      </w:r>
      <w:r w:rsidRPr="001964EE">
        <w:rPr>
          <w:rFonts w:ascii="Times New Roman" w:hAnsi="Times New Roman" w:cs="Times New Roman"/>
          <w:szCs w:val="16"/>
        </w:rPr>
        <w:t xml:space="preserve"> </w:t>
      </w:r>
      <w:r w:rsidR="001964EE" w:rsidRPr="001964EE">
        <w:rPr>
          <w:rFonts w:ascii="Times New Roman" w:hAnsi="Times New Roman" w:cs="Times New Roman"/>
          <w:szCs w:val="16"/>
        </w:rPr>
        <w:t>20a</w:t>
      </w:r>
      <w:r w:rsidR="001964EE">
        <w:rPr>
          <w:rFonts w:ascii="Times New Roman" w:hAnsi="Times New Roman" w:cs="Times New Roman"/>
          <w:szCs w:val="16"/>
        </w:rPr>
        <w:t xml:space="preserve">. </w:t>
      </w:r>
      <w:r w:rsidR="001964EE" w:rsidRPr="001964EE">
        <w:rPr>
          <w:rFonts w:ascii="Times New Roman" w:hAnsi="Times New Roman" w:cs="Times New Roman"/>
          <w:szCs w:val="16"/>
        </w:rPr>
        <w:t>U.S. Trade in Goods by Selected Co</w:t>
      </w:r>
      <w:r w:rsidR="00442812">
        <w:rPr>
          <w:rFonts w:ascii="Times New Roman" w:hAnsi="Times New Roman" w:cs="Times New Roman"/>
          <w:szCs w:val="16"/>
        </w:rPr>
        <w:t>untries and Areas – BOP Basis</w:t>
      </w:r>
    </w:p>
    <w:p w14:paraId="5A6E042D" w14:textId="6635C914" w:rsidR="001964EE" w:rsidRPr="001964EE" w:rsidRDefault="00105DB6" w:rsidP="001172C9">
      <w:pPr>
        <w:spacing w:after="0"/>
        <w:ind w:left="-360"/>
        <w:rPr>
          <w:rFonts w:ascii="Times New Roman" w:hAnsi="Times New Roman" w:cs="Times New Roman"/>
          <w:b/>
          <w:sz w:val="16"/>
          <w:szCs w:val="16"/>
        </w:rPr>
      </w:pPr>
      <w:r>
        <w:rPr>
          <w:rFonts w:ascii="Times New Roman" w:hAnsi="Times New Roman" w:cs="Times New Roman"/>
          <w:szCs w:val="16"/>
        </w:rPr>
        <w:t>Exhibit</w:t>
      </w:r>
      <w:r w:rsidRPr="001964EE">
        <w:rPr>
          <w:rFonts w:ascii="Times New Roman" w:hAnsi="Times New Roman" w:cs="Times New Roman"/>
          <w:szCs w:val="16"/>
        </w:rPr>
        <w:t xml:space="preserve"> </w:t>
      </w:r>
      <w:r w:rsidR="001964EE" w:rsidRPr="001964EE">
        <w:rPr>
          <w:rFonts w:ascii="Times New Roman" w:hAnsi="Times New Roman" w:cs="Times New Roman"/>
          <w:szCs w:val="16"/>
        </w:rPr>
        <w:t>20b</w:t>
      </w:r>
      <w:r w:rsidR="001964EE">
        <w:rPr>
          <w:rFonts w:ascii="Times New Roman" w:hAnsi="Times New Roman" w:cs="Times New Roman"/>
          <w:szCs w:val="16"/>
        </w:rPr>
        <w:t xml:space="preserve">. </w:t>
      </w:r>
      <w:r w:rsidR="001964EE" w:rsidRPr="001964EE">
        <w:rPr>
          <w:rFonts w:ascii="Times New Roman" w:hAnsi="Times New Roman" w:cs="Times New Roman"/>
          <w:szCs w:val="16"/>
        </w:rPr>
        <w:t>U.S. Trade in Services by S</w:t>
      </w:r>
      <w:r w:rsidR="00442812">
        <w:rPr>
          <w:rFonts w:ascii="Times New Roman" w:hAnsi="Times New Roman" w:cs="Times New Roman"/>
          <w:szCs w:val="16"/>
        </w:rPr>
        <w:t>elected Countries and Areas</w:t>
      </w:r>
    </w:p>
    <w:p w14:paraId="1BE50046" w14:textId="6C39FFC6" w:rsidR="000D454B" w:rsidRDefault="000D454B" w:rsidP="005A5C57">
      <w:pPr>
        <w:ind w:left="-360"/>
        <w:rPr>
          <w:rFonts w:ascii="Times New Roman" w:hAnsi="Times New Roman" w:cs="Times New Roman"/>
          <w:b/>
          <w:sz w:val="16"/>
          <w:szCs w:val="16"/>
        </w:rPr>
      </w:pPr>
    </w:p>
    <w:p w14:paraId="08162CF8" w14:textId="2E965B48" w:rsidR="005E5716" w:rsidRPr="005E5716" w:rsidRDefault="005E5716" w:rsidP="005E5716">
      <w:pPr>
        <w:tabs>
          <w:tab w:val="left" w:pos="-180"/>
        </w:tabs>
        <w:ind w:left="-173" w:hanging="187"/>
        <w:jc w:val="center"/>
        <w:rPr>
          <w:rFonts w:cs="Times New Roman"/>
          <w:sz w:val="24"/>
          <w:szCs w:val="24"/>
        </w:rPr>
      </w:pPr>
      <w:r>
        <w:rPr>
          <w:rFonts w:cs="Times New Roman"/>
          <w:sz w:val="24"/>
          <w:szCs w:val="24"/>
        </w:rPr>
        <w:t>###</w:t>
      </w:r>
    </w:p>
    <w:sectPr w:rsidR="005E5716" w:rsidRPr="005E5716" w:rsidSect="00E7676D">
      <w:type w:val="continuous"/>
      <w:pgSz w:w="12240" w:h="15840"/>
      <w:pgMar w:top="1440" w:right="1080" w:bottom="540" w:left="1080" w:header="720" w:footer="432"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441">
      <wne:macro wne:macroName="NORMAL.NEWMACROS.PASTE"/>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C988E8" w14:textId="77777777" w:rsidR="00E12244" w:rsidRDefault="00E12244" w:rsidP="0023449C">
      <w:pPr>
        <w:spacing w:after="0" w:line="240" w:lineRule="auto"/>
      </w:pPr>
      <w:r>
        <w:separator/>
      </w:r>
    </w:p>
  </w:endnote>
  <w:endnote w:type="continuationSeparator" w:id="0">
    <w:p w14:paraId="4D4F9893" w14:textId="77777777" w:rsidR="00E12244" w:rsidRDefault="00E12244" w:rsidP="00234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Pro-Regular">
    <w:altName w:val="Times New Roman"/>
    <w:charset w:val="00"/>
    <w:family w:val="auto"/>
    <w:pitch w:val="variable"/>
    <w:sig w:usb0="00000001"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97588" w14:textId="77777777" w:rsidR="00E12244" w:rsidRDefault="00E122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32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1"/>
      <w:gridCol w:w="2220"/>
      <w:gridCol w:w="4239"/>
    </w:tblGrid>
    <w:tr w:rsidR="00E12244" w:rsidRPr="00C551C0" w14:paraId="49E0E895" w14:textId="77777777" w:rsidTr="00E37CF8">
      <w:trPr>
        <w:jc w:val="center"/>
      </w:trPr>
      <w:tc>
        <w:tcPr>
          <w:tcW w:w="2192" w:type="pct"/>
        </w:tcPr>
        <w:p w14:paraId="7002AE84" w14:textId="77777777" w:rsidR="00E12244" w:rsidRDefault="00E12244" w:rsidP="00EA406A">
          <w:pPr>
            <w:rPr>
              <w:rFonts w:cs="Times New Roman"/>
              <w:b/>
              <w:sz w:val="18"/>
              <w:szCs w:val="18"/>
            </w:rPr>
          </w:pPr>
        </w:p>
      </w:tc>
      <w:tc>
        <w:tcPr>
          <w:tcW w:w="965" w:type="pct"/>
          <w:vAlign w:val="bottom"/>
        </w:tcPr>
        <w:p w14:paraId="31EDF444" w14:textId="77777777" w:rsidR="00E12244" w:rsidRDefault="00E12244" w:rsidP="00B96748">
          <w:pPr>
            <w:rPr>
              <w:rFonts w:cs="Times New Roman"/>
              <w:b/>
              <w:sz w:val="18"/>
              <w:szCs w:val="18"/>
            </w:rPr>
          </w:pPr>
        </w:p>
      </w:tc>
      <w:tc>
        <w:tcPr>
          <w:tcW w:w="1843" w:type="pct"/>
          <w:vAlign w:val="bottom"/>
        </w:tcPr>
        <w:p w14:paraId="10C0A75A" w14:textId="77777777" w:rsidR="00E12244" w:rsidRPr="00A966F0" w:rsidRDefault="00E12244" w:rsidP="00C234A9">
          <w:pPr>
            <w:jc w:val="right"/>
            <w:rPr>
              <w:rFonts w:cs="Times New Roman"/>
              <w:b/>
              <w:sz w:val="18"/>
              <w:szCs w:val="18"/>
            </w:rPr>
          </w:pPr>
        </w:p>
      </w:tc>
    </w:tr>
    <w:tr w:rsidR="00E12244" w:rsidRPr="00C551C0" w14:paraId="27125277" w14:textId="77777777" w:rsidTr="001172C9">
      <w:trPr>
        <w:jc w:val="center"/>
      </w:trPr>
      <w:tc>
        <w:tcPr>
          <w:tcW w:w="2192" w:type="pct"/>
        </w:tcPr>
        <w:p w14:paraId="57767C8C" w14:textId="2EA63F7D" w:rsidR="00E12244" w:rsidRPr="00463140" w:rsidRDefault="00E12244" w:rsidP="00EA406A">
          <w:pPr>
            <w:rPr>
              <w:rFonts w:cs="Times New Roman"/>
              <w:b/>
              <w:sz w:val="18"/>
              <w:szCs w:val="18"/>
            </w:rPr>
          </w:pPr>
          <w:r>
            <w:rPr>
              <w:rFonts w:cs="Times New Roman"/>
              <w:b/>
              <w:sz w:val="18"/>
              <w:szCs w:val="18"/>
            </w:rPr>
            <w:t xml:space="preserve">Goods </w:t>
          </w:r>
          <w:r w:rsidRPr="00463140">
            <w:rPr>
              <w:rFonts w:cs="Times New Roman"/>
              <w:b/>
              <w:sz w:val="18"/>
              <w:szCs w:val="18"/>
            </w:rPr>
            <w:t>Data Inquiries</w:t>
          </w:r>
        </w:p>
      </w:tc>
      <w:tc>
        <w:tcPr>
          <w:tcW w:w="965" w:type="pct"/>
          <w:vAlign w:val="bottom"/>
        </w:tcPr>
        <w:p w14:paraId="172C0564" w14:textId="0DA63EED" w:rsidR="00E12244" w:rsidRPr="00C551C0" w:rsidRDefault="00E12244" w:rsidP="00B96748">
          <w:pPr>
            <w:rPr>
              <w:rFonts w:cs="Times New Roman"/>
              <w:b/>
              <w:sz w:val="18"/>
              <w:szCs w:val="18"/>
            </w:rPr>
          </w:pPr>
          <w:r>
            <w:rPr>
              <w:rFonts w:cs="Times New Roman"/>
              <w:b/>
              <w:sz w:val="18"/>
              <w:szCs w:val="18"/>
            </w:rPr>
            <w:t xml:space="preserve">Goods </w:t>
          </w:r>
          <w:r w:rsidRPr="00C551C0">
            <w:rPr>
              <w:rFonts w:cs="Times New Roman"/>
              <w:b/>
              <w:sz w:val="18"/>
              <w:szCs w:val="18"/>
            </w:rPr>
            <w:t>Media Inquiries</w:t>
          </w:r>
        </w:p>
      </w:tc>
      <w:tc>
        <w:tcPr>
          <w:tcW w:w="1843" w:type="pct"/>
          <w:vAlign w:val="bottom"/>
        </w:tcPr>
        <w:p w14:paraId="7794EB43" w14:textId="15C6FA30" w:rsidR="00E12244" w:rsidRPr="00C551C0" w:rsidRDefault="00E12244" w:rsidP="00C234A9">
          <w:pPr>
            <w:jc w:val="right"/>
            <w:rPr>
              <w:rFonts w:cs="Times New Roman"/>
              <w:b/>
              <w:sz w:val="18"/>
              <w:szCs w:val="18"/>
            </w:rPr>
          </w:pPr>
          <w:r w:rsidRPr="00A966F0">
            <w:rPr>
              <w:rFonts w:cs="Times New Roman"/>
              <w:b/>
              <w:sz w:val="18"/>
              <w:szCs w:val="18"/>
            </w:rPr>
            <w:t>Service</w:t>
          </w:r>
          <w:r>
            <w:rPr>
              <w:rFonts w:cs="Times New Roman"/>
              <w:b/>
              <w:sz w:val="18"/>
              <w:szCs w:val="18"/>
            </w:rPr>
            <w:t>s</w:t>
          </w:r>
          <w:r w:rsidRPr="00A966F0">
            <w:rPr>
              <w:rFonts w:cs="Times New Roman"/>
              <w:b/>
              <w:sz w:val="18"/>
              <w:szCs w:val="18"/>
            </w:rPr>
            <w:t xml:space="preserve"> Data </w:t>
          </w:r>
          <w:r>
            <w:rPr>
              <w:rFonts w:cs="Times New Roman"/>
              <w:b/>
              <w:sz w:val="18"/>
              <w:szCs w:val="18"/>
            </w:rPr>
            <w:t xml:space="preserve">and Media </w:t>
          </w:r>
          <w:r w:rsidRPr="00A966F0">
            <w:rPr>
              <w:rFonts w:cs="Times New Roman"/>
              <w:b/>
              <w:sz w:val="18"/>
              <w:szCs w:val="18"/>
            </w:rPr>
            <w:t>Inquir</w:t>
          </w:r>
          <w:r>
            <w:rPr>
              <w:rFonts w:cs="Times New Roman"/>
              <w:b/>
              <w:sz w:val="18"/>
              <w:szCs w:val="18"/>
            </w:rPr>
            <w:t>i</w:t>
          </w:r>
          <w:r w:rsidRPr="00A966F0">
            <w:rPr>
              <w:rFonts w:cs="Times New Roman"/>
              <w:b/>
              <w:sz w:val="18"/>
              <w:szCs w:val="18"/>
            </w:rPr>
            <w:t>es</w:t>
          </w:r>
        </w:p>
      </w:tc>
    </w:tr>
    <w:tr w:rsidR="00E12244" w:rsidRPr="00E578D1" w14:paraId="3851CCCB" w14:textId="77777777" w:rsidTr="001172C9">
      <w:trPr>
        <w:jc w:val="center"/>
      </w:trPr>
      <w:tc>
        <w:tcPr>
          <w:tcW w:w="2192" w:type="pct"/>
        </w:tcPr>
        <w:p w14:paraId="38F42D62" w14:textId="178D3C00" w:rsidR="00E12244" w:rsidRDefault="00E12244" w:rsidP="004D508E">
          <w:pPr>
            <w:rPr>
              <w:rFonts w:cs="Times New Roman"/>
              <w:sz w:val="18"/>
              <w:szCs w:val="18"/>
            </w:rPr>
          </w:pPr>
          <w:r>
            <w:rPr>
              <w:rFonts w:cs="Times New Roman"/>
              <w:sz w:val="18"/>
              <w:szCs w:val="18"/>
            </w:rPr>
            <w:t>U.S. Census Bureau</w:t>
          </w:r>
        </w:p>
      </w:tc>
      <w:tc>
        <w:tcPr>
          <w:tcW w:w="965" w:type="pct"/>
          <w:vAlign w:val="bottom"/>
        </w:tcPr>
        <w:p w14:paraId="0A7DD33C" w14:textId="427DA132" w:rsidR="00E12244" w:rsidRDefault="00E12244" w:rsidP="00B96748">
          <w:pPr>
            <w:rPr>
              <w:rFonts w:cs="Times New Roman"/>
              <w:sz w:val="18"/>
              <w:szCs w:val="18"/>
            </w:rPr>
          </w:pPr>
          <w:r>
            <w:rPr>
              <w:rFonts w:cs="Times New Roman"/>
              <w:sz w:val="18"/>
              <w:szCs w:val="18"/>
            </w:rPr>
            <w:t>U.S. Census Bureau</w:t>
          </w:r>
        </w:p>
      </w:tc>
      <w:tc>
        <w:tcPr>
          <w:tcW w:w="1843" w:type="pct"/>
          <w:vAlign w:val="bottom"/>
        </w:tcPr>
        <w:p w14:paraId="181D54FB" w14:textId="4791CFA7" w:rsidR="00E12244" w:rsidRPr="00A966F0" w:rsidRDefault="00E12244" w:rsidP="00A966F0">
          <w:pPr>
            <w:ind w:left="-79"/>
            <w:jc w:val="right"/>
            <w:rPr>
              <w:rFonts w:cs="Times New Roman"/>
              <w:sz w:val="18"/>
              <w:szCs w:val="18"/>
            </w:rPr>
          </w:pPr>
          <w:r w:rsidRPr="00A966F0">
            <w:rPr>
              <w:rFonts w:cs="Times New Roman"/>
              <w:sz w:val="18"/>
              <w:szCs w:val="18"/>
            </w:rPr>
            <w:t>U.S. Bureau of Economic Analysis</w:t>
          </w:r>
        </w:p>
      </w:tc>
    </w:tr>
    <w:tr w:rsidR="00E12244" w:rsidRPr="00E578D1" w14:paraId="115A95EE" w14:textId="77777777" w:rsidTr="001172C9">
      <w:trPr>
        <w:jc w:val="center"/>
      </w:trPr>
      <w:tc>
        <w:tcPr>
          <w:tcW w:w="2192" w:type="pct"/>
        </w:tcPr>
        <w:p w14:paraId="352A56A6" w14:textId="3275D50F" w:rsidR="00E12244" w:rsidRDefault="00E12244" w:rsidP="004D508E">
          <w:pPr>
            <w:rPr>
              <w:rFonts w:cs="Times New Roman"/>
              <w:sz w:val="18"/>
              <w:szCs w:val="18"/>
            </w:rPr>
          </w:pPr>
          <w:r>
            <w:rPr>
              <w:rFonts w:cs="Times New Roman"/>
              <w:sz w:val="18"/>
              <w:szCs w:val="18"/>
            </w:rPr>
            <w:t>Economic Indicators Division, International Trade</w:t>
          </w:r>
        </w:p>
      </w:tc>
      <w:tc>
        <w:tcPr>
          <w:tcW w:w="965" w:type="pct"/>
          <w:vAlign w:val="bottom"/>
        </w:tcPr>
        <w:p w14:paraId="344ADC0C" w14:textId="4A1A9DDB" w:rsidR="00E12244" w:rsidRDefault="00E12244" w:rsidP="00B96748">
          <w:pPr>
            <w:rPr>
              <w:rFonts w:cs="Times New Roman"/>
              <w:sz w:val="18"/>
              <w:szCs w:val="18"/>
            </w:rPr>
          </w:pPr>
          <w:r>
            <w:rPr>
              <w:rFonts w:cs="Times New Roman"/>
              <w:sz w:val="18"/>
              <w:szCs w:val="18"/>
            </w:rPr>
            <w:t>Public Information Office</w:t>
          </w:r>
        </w:p>
      </w:tc>
      <w:tc>
        <w:tcPr>
          <w:tcW w:w="1843" w:type="pct"/>
          <w:vAlign w:val="bottom"/>
        </w:tcPr>
        <w:p w14:paraId="36E8859C" w14:textId="129DA6B0" w:rsidR="00E12244" w:rsidRPr="00A966F0" w:rsidRDefault="00E12244" w:rsidP="00A966F0">
          <w:pPr>
            <w:ind w:left="-79"/>
            <w:jc w:val="right"/>
            <w:rPr>
              <w:rFonts w:cs="Times New Roman"/>
              <w:sz w:val="18"/>
              <w:szCs w:val="18"/>
            </w:rPr>
          </w:pPr>
          <w:r w:rsidRPr="00250AB8">
            <w:rPr>
              <w:rFonts w:cs="Times New Roman"/>
              <w:sz w:val="18"/>
              <w:szCs w:val="18"/>
            </w:rPr>
            <w:t>Balance of Payments Division</w:t>
          </w:r>
        </w:p>
      </w:tc>
    </w:tr>
    <w:tr w:rsidR="00E12244" w:rsidRPr="00E578D1" w14:paraId="4C96D9F0" w14:textId="77777777" w:rsidTr="001172C9">
      <w:trPr>
        <w:jc w:val="center"/>
      </w:trPr>
      <w:tc>
        <w:tcPr>
          <w:tcW w:w="2192" w:type="pct"/>
        </w:tcPr>
        <w:p w14:paraId="5B368049" w14:textId="75EA01CE" w:rsidR="00E12244" w:rsidRDefault="00E12244" w:rsidP="004D508E">
          <w:pPr>
            <w:rPr>
              <w:rFonts w:cs="Times New Roman"/>
              <w:sz w:val="18"/>
              <w:szCs w:val="18"/>
            </w:rPr>
          </w:pPr>
          <w:r>
            <w:rPr>
              <w:rFonts w:cs="Times New Roman"/>
              <w:sz w:val="18"/>
              <w:szCs w:val="18"/>
            </w:rPr>
            <w:t>301-</w:t>
          </w:r>
          <w:r w:rsidRPr="0014744E">
            <w:rPr>
              <w:rFonts w:cs="Times New Roman"/>
              <w:sz w:val="18"/>
              <w:szCs w:val="18"/>
            </w:rPr>
            <w:t>763-2311</w:t>
          </w:r>
        </w:p>
      </w:tc>
      <w:tc>
        <w:tcPr>
          <w:tcW w:w="965" w:type="pct"/>
          <w:vAlign w:val="bottom"/>
        </w:tcPr>
        <w:p w14:paraId="54E44C88" w14:textId="6416AC74" w:rsidR="00E12244" w:rsidRDefault="00E12244" w:rsidP="00B96748">
          <w:pPr>
            <w:rPr>
              <w:rFonts w:cs="Times New Roman"/>
              <w:sz w:val="18"/>
              <w:szCs w:val="18"/>
            </w:rPr>
          </w:pPr>
          <w:r>
            <w:rPr>
              <w:rFonts w:cs="Times New Roman"/>
              <w:sz w:val="18"/>
              <w:szCs w:val="18"/>
            </w:rPr>
            <w:t>301-763-3030</w:t>
          </w:r>
        </w:p>
      </w:tc>
      <w:tc>
        <w:tcPr>
          <w:tcW w:w="1843" w:type="pct"/>
          <w:vAlign w:val="bottom"/>
        </w:tcPr>
        <w:p w14:paraId="5558D958" w14:textId="63D9E385" w:rsidR="00E12244" w:rsidRPr="00A966F0" w:rsidRDefault="00E12244" w:rsidP="00A966F0">
          <w:pPr>
            <w:ind w:left="-79"/>
            <w:jc w:val="right"/>
            <w:rPr>
              <w:rFonts w:cs="Times New Roman"/>
              <w:sz w:val="18"/>
              <w:szCs w:val="18"/>
            </w:rPr>
          </w:pPr>
          <w:r w:rsidRPr="00250AB8">
            <w:rPr>
              <w:sz w:val="18"/>
            </w:rPr>
            <w:t xml:space="preserve">Data: </w:t>
          </w:r>
          <w:r w:rsidRPr="007812D0">
            <w:rPr>
              <w:sz w:val="18"/>
            </w:rPr>
            <w:t>301-278-9559</w:t>
          </w:r>
        </w:p>
      </w:tc>
    </w:tr>
    <w:tr w:rsidR="00E12244" w:rsidRPr="00E578D1" w14:paraId="55AECFB5" w14:textId="77777777" w:rsidTr="001172C9">
      <w:trPr>
        <w:jc w:val="center"/>
      </w:trPr>
      <w:tc>
        <w:tcPr>
          <w:tcW w:w="2192" w:type="pct"/>
        </w:tcPr>
        <w:p w14:paraId="5233A547" w14:textId="693D5055" w:rsidR="00E12244" w:rsidRDefault="00D059C3" w:rsidP="004D508E">
          <w:pPr>
            <w:rPr>
              <w:rFonts w:cs="Times New Roman"/>
              <w:sz w:val="18"/>
              <w:szCs w:val="18"/>
            </w:rPr>
          </w:pPr>
          <w:hyperlink r:id="rId1" w:history="1">
            <w:r w:rsidR="00E12244" w:rsidRPr="00882BC0">
              <w:rPr>
                <w:rStyle w:val="Hyperlink"/>
                <w:sz w:val="18"/>
                <w:szCs w:val="18"/>
                <w:u w:val="none"/>
              </w:rPr>
              <w:t>eid.international.trade.data@census.gov</w:t>
            </w:r>
          </w:hyperlink>
        </w:p>
      </w:tc>
      <w:tc>
        <w:tcPr>
          <w:tcW w:w="965" w:type="pct"/>
          <w:vAlign w:val="bottom"/>
        </w:tcPr>
        <w:p w14:paraId="22586D83" w14:textId="47DA6192" w:rsidR="00E12244" w:rsidRDefault="00D059C3" w:rsidP="00B96748">
          <w:pPr>
            <w:rPr>
              <w:rFonts w:cs="Times New Roman"/>
              <w:sz w:val="18"/>
              <w:szCs w:val="18"/>
            </w:rPr>
          </w:pPr>
          <w:hyperlink r:id="rId2" w:history="1">
            <w:r w:rsidR="00E12244">
              <w:rPr>
                <w:rStyle w:val="Hyperlink"/>
                <w:rFonts w:cs="Times New Roman"/>
                <w:sz w:val="18"/>
                <w:szCs w:val="18"/>
                <w:u w:val="none"/>
              </w:rPr>
              <w:t>pio@census.gov</w:t>
            </w:r>
          </w:hyperlink>
        </w:p>
      </w:tc>
      <w:tc>
        <w:tcPr>
          <w:tcW w:w="1843" w:type="pct"/>
          <w:vAlign w:val="bottom"/>
        </w:tcPr>
        <w:p w14:paraId="356DF077" w14:textId="4727AF85" w:rsidR="00E12244" w:rsidRPr="00A966F0" w:rsidRDefault="00E12244" w:rsidP="00A966F0">
          <w:pPr>
            <w:ind w:left="-79"/>
            <w:jc w:val="right"/>
            <w:rPr>
              <w:rFonts w:cs="Times New Roman"/>
              <w:sz w:val="18"/>
              <w:szCs w:val="18"/>
            </w:rPr>
          </w:pPr>
          <w:r w:rsidRPr="00250AB8">
            <w:rPr>
              <w:sz w:val="18"/>
              <w:szCs w:val="18"/>
            </w:rPr>
            <w:t>Media: 301-278-9003</w:t>
          </w:r>
        </w:p>
      </w:tc>
    </w:tr>
    <w:tr w:rsidR="00E12244" w:rsidRPr="00E578D1" w14:paraId="7404CEC0" w14:textId="77777777" w:rsidTr="001172C9">
      <w:trPr>
        <w:jc w:val="center"/>
      </w:trPr>
      <w:tc>
        <w:tcPr>
          <w:tcW w:w="2192" w:type="pct"/>
        </w:tcPr>
        <w:p w14:paraId="04F27314" w14:textId="034D1349" w:rsidR="00E12244" w:rsidRPr="00E578D1" w:rsidRDefault="00E12244" w:rsidP="004D508E">
          <w:pPr>
            <w:rPr>
              <w:sz w:val="18"/>
              <w:szCs w:val="18"/>
            </w:rPr>
          </w:pPr>
        </w:p>
      </w:tc>
      <w:tc>
        <w:tcPr>
          <w:tcW w:w="965" w:type="pct"/>
          <w:vAlign w:val="bottom"/>
        </w:tcPr>
        <w:p w14:paraId="7D94A392" w14:textId="11818851" w:rsidR="00E12244" w:rsidRDefault="00E12244" w:rsidP="00B96748">
          <w:pPr>
            <w:rPr>
              <w:rFonts w:cs="Times New Roman"/>
              <w:sz w:val="18"/>
              <w:szCs w:val="18"/>
            </w:rPr>
          </w:pPr>
        </w:p>
      </w:tc>
      <w:tc>
        <w:tcPr>
          <w:tcW w:w="1843" w:type="pct"/>
          <w:vAlign w:val="bottom"/>
        </w:tcPr>
        <w:p w14:paraId="6435838E" w14:textId="3934DE10" w:rsidR="00E12244" w:rsidRPr="00E578D1" w:rsidRDefault="00D059C3" w:rsidP="00A966F0">
          <w:pPr>
            <w:ind w:left="-79"/>
            <w:jc w:val="right"/>
            <w:rPr>
              <w:sz w:val="18"/>
              <w:szCs w:val="18"/>
            </w:rPr>
          </w:pPr>
          <w:hyperlink r:id="rId3" w:history="1">
            <w:r w:rsidR="00E12244" w:rsidRPr="00424FDA">
              <w:rPr>
                <w:rStyle w:val="Hyperlink"/>
                <w:sz w:val="18"/>
                <w:u w:val="none"/>
              </w:rPr>
              <w:t>InternationalAccounts@bea.gov</w:t>
            </w:r>
          </w:hyperlink>
        </w:p>
      </w:tc>
    </w:tr>
    <w:tr w:rsidR="00E12244" w14:paraId="240E1050" w14:textId="77777777" w:rsidTr="001172C9">
      <w:trPr>
        <w:jc w:val="center"/>
      </w:trPr>
      <w:tc>
        <w:tcPr>
          <w:tcW w:w="2192" w:type="pct"/>
        </w:tcPr>
        <w:p w14:paraId="799120ED" w14:textId="77777777" w:rsidR="00E12244" w:rsidRDefault="00E12244" w:rsidP="00C41BBB">
          <w:pPr>
            <w:rPr>
              <w:rFonts w:cs="Times New Roman"/>
              <w:sz w:val="18"/>
              <w:szCs w:val="18"/>
            </w:rPr>
          </w:pPr>
        </w:p>
      </w:tc>
      <w:tc>
        <w:tcPr>
          <w:tcW w:w="965" w:type="pct"/>
        </w:tcPr>
        <w:p w14:paraId="6DB2083F" w14:textId="3F5FF8F7" w:rsidR="00E12244" w:rsidRPr="00C234A9" w:rsidRDefault="00E12244" w:rsidP="00B96748"/>
      </w:tc>
      <w:tc>
        <w:tcPr>
          <w:tcW w:w="1843" w:type="pct"/>
        </w:tcPr>
        <w:p w14:paraId="4FA9116B" w14:textId="4DBBEADD" w:rsidR="00E12244" w:rsidRDefault="00E12244" w:rsidP="001F211F">
          <w:pPr>
            <w:jc w:val="right"/>
          </w:pPr>
        </w:p>
      </w:tc>
    </w:tr>
    <w:tr w:rsidR="00E12244" w:rsidRPr="00C551C0" w14:paraId="1C1E3BC8" w14:textId="77777777" w:rsidTr="00933C70">
      <w:trPr>
        <w:trHeight w:val="446"/>
        <w:jc w:val="center"/>
      </w:trPr>
      <w:tc>
        <w:tcPr>
          <w:tcW w:w="2192" w:type="pct"/>
        </w:tcPr>
        <w:p w14:paraId="4A9489C1" w14:textId="17818ACA" w:rsidR="00E12244" w:rsidRDefault="00E12244" w:rsidP="001F211F">
          <w:pPr>
            <w:rPr>
              <w:rFonts w:cs="Times New Roman"/>
              <w:sz w:val="18"/>
              <w:szCs w:val="18"/>
            </w:rPr>
          </w:pPr>
          <w:r>
            <w:rPr>
              <w:noProof/>
            </w:rPr>
            <w:drawing>
              <wp:inline distT="0" distB="0" distL="0" distR="0" wp14:anchorId="4EE8173C" wp14:editId="38C87EF9">
                <wp:extent cx="2907792" cy="616978"/>
                <wp:effectExtent l="0" t="0" r="698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
                          <a:extLst>
                            <a:ext uri="{28A0092B-C50C-407E-A947-70E740481C1C}">
                              <a14:useLocalDpi xmlns:a14="http://schemas.microsoft.com/office/drawing/2010/main" val="0"/>
                            </a:ext>
                          </a:extLst>
                        </a:blip>
                        <a:stretch>
                          <a:fillRect/>
                        </a:stretch>
                      </pic:blipFill>
                      <pic:spPr>
                        <a:xfrm>
                          <a:off x="0" y="0"/>
                          <a:ext cx="2907792" cy="616978"/>
                        </a:xfrm>
                        <a:prstGeom prst="rect">
                          <a:avLst/>
                        </a:prstGeom>
                      </pic:spPr>
                    </pic:pic>
                  </a:graphicData>
                </a:graphic>
              </wp:inline>
            </w:drawing>
          </w:r>
        </w:p>
      </w:tc>
      <w:tc>
        <w:tcPr>
          <w:tcW w:w="965" w:type="pct"/>
        </w:tcPr>
        <w:p w14:paraId="501DB3FC" w14:textId="77777777" w:rsidR="00E12244" w:rsidRDefault="00E12244" w:rsidP="000E3C66">
          <w:pPr>
            <w:rPr>
              <w:b/>
              <w:i/>
              <w:noProof/>
              <w:sz w:val="18"/>
              <w:szCs w:val="18"/>
            </w:rPr>
          </w:pPr>
        </w:p>
      </w:tc>
      <w:tc>
        <w:tcPr>
          <w:tcW w:w="1843" w:type="pct"/>
          <w:vAlign w:val="bottom"/>
        </w:tcPr>
        <w:p w14:paraId="3F758FE6" w14:textId="2FF80408" w:rsidR="00E12244" w:rsidRPr="000E3C66" w:rsidRDefault="00E12244" w:rsidP="00C17602">
          <w:pPr>
            <w:jc w:val="right"/>
            <w:rPr>
              <w:b/>
              <w:i/>
              <w:sz w:val="18"/>
              <w:szCs w:val="18"/>
            </w:rPr>
          </w:pPr>
          <w:r>
            <w:rPr>
              <w:b/>
              <w:i/>
              <w:noProof/>
              <w:sz w:val="18"/>
              <w:szCs w:val="18"/>
            </w:rPr>
            <w:drawing>
              <wp:inline distT="0" distB="0" distL="0" distR="0" wp14:anchorId="58BF72F5" wp14:editId="43AA08DB">
                <wp:extent cx="2228850" cy="247650"/>
                <wp:effectExtent l="0" t="0" r="0" b="0"/>
                <wp:docPr id="8" name="Picture 8" descr="C:\Users\Bpbpk1\AppData\Local\Microsoft\Windows\Temporary Internet Files\Content.IE5\Q42I5WB6\BEA-H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pbpk1\AppData\Local\Microsoft\Windows\Temporary Internet Files\Content.IE5\Q42I5WB6\BEA-HLogo.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28850" cy="247650"/>
                        </a:xfrm>
                        <a:prstGeom prst="rect">
                          <a:avLst/>
                        </a:prstGeom>
                        <a:noFill/>
                        <a:ln>
                          <a:noFill/>
                        </a:ln>
                      </pic:spPr>
                    </pic:pic>
                  </a:graphicData>
                </a:graphic>
              </wp:inline>
            </w:drawing>
          </w:r>
        </w:p>
      </w:tc>
    </w:tr>
  </w:tbl>
  <w:p w14:paraId="55A382D8" w14:textId="067BE03D" w:rsidR="00E12244" w:rsidRPr="00CF0CF5" w:rsidRDefault="00E12244" w:rsidP="00D059C3">
    <w:pPr>
      <w:pStyle w:val="Footer"/>
      <w:rPr>
        <w:sz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6AC30" w14:textId="77777777" w:rsidR="00E12244" w:rsidRDefault="00E122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554E0" w14:textId="77777777" w:rsidR="00E12244" w:rsidRDefault="00E12244" w:rsidP="0023449C">
      <w:pPr>
        <w:spacing w:after="0" w:line="240" w:lineRule="auto"/>
      </w:pPr>
      <w:r>
        <w:separator/>
      </w:r>
    </w:p>
  </w:footnote>
  <w:footnote w:type="continuationSeparator" w:id="0">
    <w:p w14:paraId="359BAFCA" w14:textId="77777777" w:rsidR="00E12244" w:rsidRDefault="00E12244" w:rsidP="002344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EE37C" w14:textId="77777777" w:rsidR="00E12244" w:rsidRDefault="00E122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A6FDB" w14:textId="77777777" w:rsidR="00E12244" w:rsidRDefault="00E122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98752" w14:textId="77777777" w:rsidR="00E12244" w:rsidRDefault="00E122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8317D"/>
    <w:multiLevelType w:val="hybridMultilevel"/>
    <w:tmpl w:val="7F42A1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E36F50"/>
    <w:multiLevelType w:val="hybridMultilevel"/>
    <w:tmpl w:val="315876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EDD6F63"/>
    <w:multiLevelType w:val="hybridMultilevel"/>
    <w:tmpl w:val="E1A4FE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35D1911"/>
    <w:multiLevelType w:val="multilevel"/>
    <w:tmpl w:val="C4F2FA16"/>
    <w:styleLink w:val="Style1"/>
    <w:lvl w:ilvl="0">
      <w:start w:val="1"/>
      <w:numFmt w:val="bullet"/>
      <w:lvlText w:val=""/>
      <w:lvlJc w:val="left"/>
      <w:pPr>
        <w:ind w:left="360" w:hanging="360"/>
      </w:pPr>
      <w:rPr>
        <w:rFonts w:ascii="Symbol" w:hAnsi="Symbol" w:hint="default"/>
        <w:sz w:val="20"/>
        <w:szCs w:val="20"/>
      </w:rPr>
    </w:lvl>
    <w:lvl w:ilvl="1">
      <w:start w:val="1"/>
      <w:numFmt w:val="bullet"/>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cs="Courier New"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15017107"/>
    <w:multiLevelType w:val="hybridMultilevel"/>
    <w:tmpl w:val="E6D86C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64342E7"/>
    <w:multiLevelType w:val="hybridMultilevel"/>
    <w:tmpl w:val="E5D8264C"/>
    <w:lvl w:ilvl="0" w:tplc="04090001">
      <w:start w:val="1"/>
      <w:numFmt w:val="bullet"/>
      <w:lvlText w:val=""/>
      <w:lvlJc w:val="left"/>
      <w:pPr>
        <w:ind w:left="1080" w:hanging="360"/>
      </w:pPr>
      <w:rPr>
        <w:rFonts w:ascii="Symbol" w:hAnsi="Symbol" w:hint="default"/>
      </w:rPr>
    </w:lvl>
    <w:lvl w:ilvl="1" w:tplc="40BA8CAA">
      <w:numFmt w:val="bullet"/>
      <w:lvlText w:val="•"/>
      <w:lvlJc w:val="left"/>
      <w:pPr>
        <w:ind w:left="1800" w:hanging="360"/>
      </w:pPr>
      <w:rPr>
        <w:rFonts w:ascii="Times New Roman" w:eastAsiaTheme="minorHAnsi"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72649F4"/>
    <w:multiLevelType w:val="hybridMultilevel"/>
    <w:tmpl w:val="402AE7D2"/>
    <w:lvl w:ilvl="0" w:tplc="5D785946">
      <w:start w:val="1"/>
      <w:numFmt w:val="bullet"/>
      <w:lvlText w:val=""/>
      <w:lvlJc w:val="left"/>
      <w:pPr>
        <w:ind w:left="576" w:hanging="360"/>
      </w:pPr>
      <w:rPr>
        <w:rFonts w:ascii="Symbol" w:hAnsi="Symbol" w:hint="default"/>
        <w:sz w:val="18"/>
      </w:rPr>
    </w:lvl>
    <w:lvl w:ilvl="1" w:tplc="E9389EBA">
      <w:numFmt w:val="bullet"/>
      <w:lvlText w:val="•"/>
      <w:lvlJc w:val="left"/>
      <w:pPr>
        <w:ind w:left="1296" w:hanging="360"/>
      </w:pPr>
      <w:rPr>
        <w:rFonts w:ascii="Times New Roman" w:eastAsia="Times New Roman" w:hAnsi="Times New Roman" w:cs="Times New Roman" w:hint="default"/>
      </w:rPr>
    </w:lvl>
    <w:lvl w:ilvl="2" w:tplc="040C0005" w:tentative="1">
      <w:start w:val="1"/>
      <w:numFmt w:val="bullet"/>
      <w:lvlText w:val=""/>
      <w:lvlJc w:val="left"/>
      <w:pPr>
        <w:ind w:left="2016" w:hanging="360"/>
      </w:pPr>
      <w:rPr>
        <w:rFonts w:ascii="Wingdings" w:hAnsi="Wingdings" w:hint="default"/>
      </w:rPr>
    </w:lvl>
    <w:lvl w:ilvl="3" w:tplc="040C0001" w:tentative="1">
      <w:start w:val="1"/>
      <w:numFmt w:val="bullet"/>
      <w:lvlText w:val=""/>
      <w:lvlJc w:val="left"/>
      <w:pPr>
        <w:ind w:left="2736" w:hanging="360"/>
      </w:pPr>
      <w:rPr>
        <w:rFonts w:ascii="Symbol" w:hAnsi="Symbol" w:hint="default"/>
      </w:rPr>
    </w:lvl>
    <w:lvl w:ilvl="4" w:tplc="040C0003" w:tentative="1">
      <w:start w:val="1"/>
      <w:numFmt w:val="bullet"/>
      <w:lvlText w:val="o"/>
      <w:lvlJc w:val="left"/>
      <w:pPr>
        <w:ind w:left="3456" w:hanging="360"/>
      </w:pPr>
      <w:rPr>
        <w:rFonts w:ascii="Courier New" w:hAnsi="Courier New" w:cs="Courier New" w:hint="default"/>
      </w:rPr>
    </w:lvl>
    <w:lvl w:ilvl="5" w:tplc="040C0005" w:tentative="1">
      <w:start w:val="1"/>
      <w:numFmt w:val="bullet"/>
      <w:lvlText w:val=""/>
      <w:lvlJc w:val="left"/>
      <w:pPr>
        <w:ind w:left="4176" w:hanging="360"/>
      </w:pPr>
      <w:rPr>
        <w:rFonts w:ascii="Wingdings" w:hAnsi="Wingdings" w:hint="default"/>
      </w:rPr>
    </w:lvl>
    <w:lvl w:ilvl="6" w:tplc="040C0001" w:tentative="1">
      <w:start w:val="1"/>
      <w:numFmt w:val="bullet"/>
      <w:lvlText w:val=""/>
      <w:lvlJc w:val="left"/>
      <w:pPr>
        <w:ind w:left="4896" w:hanging="360"/>
      </w:pPr>
      <w:rPr>
        <w:rFonts w:ascii="Symbol" w:hAnsi="Symbol" w:hint="default"/>
      </w:rPr>
    </w:lvl>
    <w:lvl w:ilvl="7" w:tplc="040C0003" w:tentative="1">
      <w:start w:val="1"/>
      <w:numFmt w:val="bullet"/>
      <w:lvlText w:val="o"/>
      <w:lvlJc w:val="left"/>
      <w:pPr>
        <w:ind w:left="5616" w:hanging="360"/>
      </w:pPr>
      <w:rPr>
        <w:rFonts w:ascii="Courier New" w:hAnsi="Courier New" w:cs="Courier New" w:hint="default"/>
      </w:rPr>
    </w:lvl>
    <w:lvl w:ilvl="8" w:tplc="040C0005" w:tentative="1">
      <w:start w:val="1"/>
      <w:numFmt w:val="bullet"/>
      <w:lvlText w:val=""/>
      <w:lvlJc w:val="left"/>
      <w:pPr>
        <w:ind w:left="6336" w:hanging="360"/>
      </w:pPr>
      <w:rPr>
        <w:rFonts w:ascii="Wingdings" w:hAnsi="Wingdings" w:hint="default"/>
      </w:rPr>
    </w:lvl>
  </w:abstractNum>
  <w:abstractNum w:abstractNumId="7" w15:restartNumberingAfterBreak="0">
    <w:nsid w:val="249055F4"/>
    <w:multiLevelType w:val="hybridMultilevel"/>
    <w:tmpl w:val="944C9DDA"/>
    <w:lvl w:ilvl="0" w:tplc="96EEB63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847D00"/>
    <w:multiLevelType w:val="hybridMultilevel"/>
    <w:tmpl w:val="65AE43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9C21887"/>
    <w:multiLevelType w:val="hybridMultilevel"/>
    <w:tmpl w:val="9AE25998"/>
    <w:lvl w:ilvl="0" w:tplc="2F2633BE">
      <w:start w:val="1"/>
      <w:numFmt w:val="bullet"/>
      <w:lvlText w:val=""/>
      <w:lvlJc w:val="left"/>
      <w:pPr>
        <w:ind w:left="360" w:hanging="360"/>
      </w:pPr>
      <w:rPr>
        <w:rFonts w:ascii="Symbol" w:hAnsi="Symbol" w:hint="default"/>
        <w:sz w:val="20"/>
        <w:szCs w:val="20"/>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5C30511"/>
    <w:multiLevelType w:val="hybridMultilevel"/>
    <w:tmpl w:val="2E60846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4B646D1E"/>
    <w:multiLevelType w:val="hybridMultilevel"/>
    <w:tmpl w:val="C99E6C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B9C5905"/>
    <w:multiLevelType w:val="hybridMultilevel"/>
    <w:tmpl w:val="37C4D18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D6C6C31"/>
    <w:multiLevelType w:val="hybridMultilevel"/>
    <w:tmpl w:val="A9824C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1EF05AA"/>
    <w:multiLevelType w:val="hybridMultilevel"/>
    <w:tmpl w:val="F15CEC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3633665"/>
    <w:multiLevelType w:val="hybridMultilevel"/>
    <w:tmpl w:val="33B2C2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7B77FD"/>
    <w:multiLevelType w:val="hybridMultilevel"/>
    <w:tmpl w:val="D360A10C"/>
    <w:lvl w:ilvl="0" w:tplc="96EEB63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960122"/>
    <w:multiLevelType w:val="multilevel"/>
    <w:tmpl w:val="C4F2FA16"/>
    <w:numStyleLink w:val="Style1"/>
  </w:abstractNum>
  <w:abstractNum w:abstractNumId="18" w15:restartNumberingAfterBreak="0">
    <w:nsid w:val="6822212E"/>
    <w:multiLevelType w:val="hybridMultilevel"/>
    <w:tmpl w:val="0DBADCA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3"/>
  </w:num>
  <w:num w:numId="2">
    <w:abstractNumId w:val="8"/>
  </w:num>
  <w:num w:numId="3">
    <w:abstractNumId w:val="9"/>
  </w:num>
  <w:num w:numId="4">
    <w:abstractNumId w:val="3"/>
  </w:num>
  <w:num w:numId="5">
    <w:abstractNumId w:val="17"/>
  </w:num>
  <w:num w:numId="6">
    <w:abstractNumId w:val="4"/>
  </w:num>
  <w:num w:numId="7">
    <w:abstractNumId w:val="0"/>
  </w:num>
  <w:num w:numId="8">
    <w:abstractNumId w:val="12"/>
  </w:num>
  <w:num w:numId="9">
    <w:abstractNumId w:val="11"/>
  </w:num>
  <w:num w:numId="10">
    <w:abstractNumId w:val="5"/>
  </w:num>
  <w:num w:numId="11">
    <w:abstractNumId w:val="1"/>
  </w:num>
  <w:num w:numId="12">
    <w:abstractNumId w:val="2"/>
  </w:num>
  <w:num w:numId="13">
    <w:abstractNumId w:val="14"/>
  </w:num>
  <w:num w:numId="14">
    <w:abstractNumId w:val="18"/>
  </w:num>
  <w:num w:numId="15">
    <w:abstractNumId w:val="10"/>
  </w:num>
  <w:num w:numId="16">
    <w:abstractNumId w:val="15"/>
  </w:num>
  <w:num w:numId="17">
    <w:abstractNumId w:val="7"/>
  </w:num>
  <w:num w:numId="18">
    <w:abstractNumId w:val="16"/>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SV_QUERY_LIST_4F35BF76-6C0D-4D9B-82B2-816C12CF3733" w:val="empty_477D106A-C0D6-4607-AEBD-E2C9D60EA279"/>
  </w:docVars>
  <w:rsids>
    <w:rsidRoot w:val="00DA5A25"/>
    <w:rsid w:val="0000159A"/>
    <w:rsid w:val="00003BE9"/>
    <w:rsid w:val="00005371"/>
    <w:rsid w:val="00005637"/>
    <w:rsid w:val="000062F5"/>
    <w:rsid w:val="000065B4"/>
    <w:rsid w:val="00006D15"/>
    <w:rsid w:val="000101A8"/>
    <w:rsid w:val="00011F07"/>
    <w:rsid w:val="000136C3"/>
    <w:rsid w:val="00013842"/>
    <w:rsid w:val="00015C89"/>
    <w:rsid w:val="0001653D"/>
    <w:rsid w:val="0002062C"/>
    <w:rsid w:val="00020E47"/>
    <w:rsid w:val="00022EA5"/>
    <w:rsid w:val="00022EB0"/>
    <w:rsid w:val="000247D9"/>
    <w:rsid w:val="000269B6"/>
    <w:rsid w:val="00026C37"/>
    <w:rsid w:val="00027715"/>
    <w:rsid w:val="00034B00"/>
    <w:rsid w:val="00035B89"/>
    <w:rsid w:val="00037355"/>
    <w:rsid w:val="00042C67"/>
    <w:rsid w:val="00046491"/>
    <w:rsid w:val="00046797"/>
    <w:rsid w:val="00052425"/>
    <w:rsid w:val="000531FF"/>
    <w:rsid w:val="00053B6C"/>
    <w:rsid w:val="00054CE9"/>
    <w:rsid w:val="000632AF"/>
    <w:rsid w:val="000652A6"/>
    <w:rsid w:val="00065DC8"/>
    <w:rsid w:val="0007066F"/>
    <w:rsid w:val="00071CE7"/>
    <w:rsid w:val="000720EF"/>
    <w:rsid w:val="00072F0E"/>
    <w:rsid w:val="00072F87"/>
    <w:rsid w:val="00074C37"/>
    <w:rsid w:val="000750A9"/>
    <w:rsid w:val="00075659"/>
    <w:rsid w:val="000769B4"/>
    <w:rsid w:val="00077ED7"/>
    <w:rsid w:val="0008176D"/>
    <w:rsid w:val="00082814"/>
    <w:rsid w:val="00085A1D"/>
    <w:rsid w:val="00086A28"/>
    <w:rsid w:val="00087651"/>
    <w:rsid w:val="000920D4"/>
    <w:rsid w:val="000922FD"/>
    <w:rsid w:val="000930E7"/>
    <w:rsid w:val="000946FE"/>
    <w:rsid w:val="000952FC"/>
    <w:rsid w:val="000A70DF"/>
    <w:rsid w:val="000B2065"/>
    <w:rsid w:val="000C0B5C"/>
    <w:rsid w:val="000C45B7"/>
    <w:rsid w:val="000D0FC8"/>
    <w:rsid w:val="000D454B"/>
    <w:rsid w:val="000D4BD7"/>
    <w:rsid w:val="000D6495"/>
    <w:rsid w:val="000E3C66"/>
    <w:rsid w:val="000E7B18"/>
    <w:rsid w:val="000E7B89"/>
    <w:rsid w:val="000F4455"/>
    <w:rsid w:val="000F5B0D"/>
    <w:rsid w:val="000F7197"/>
    <w:rsid w:val="000F746C"/>
    <w:rsid w:val="000F7ABD"/>
    <w:rsid w:val="001015B4"/>
    <w:rsid w:val="00101A6B"/>
    <w:rsid w:val="001037EC"/>
    <w:rsid w:val="001057E6"/>
    <w:rsid w:val="00105DB6"/>
    <w:rsid w:val="001060BA"/>
    <w:rsid w:val="001062F0"/>
    <w:rsid w:val="00112653"/>
    <w:rsid w:val="00112785"/>
    <w:rsid w:val="00113770"/>
    <w:rsid w:val="00115301"/>
    <w:rsid w:val="00115B8C"/>
    <w:rsid w:val="001172C9"/>
    <w:rsid w:val="001231C5"/>
    <w:rsid w:val="00123D7A"/>
    <w:rsid w:val="0012523D"/>
    <w:rsid w:val="001313CF"/>
    <w:rsid w:val="00133DDB"/>
    <w:rsid w:val="001343B3"/>
    <w:rsid w:val="00135CE8"/>
    <w:rsid w:val="00135FB8"/>
    <w:rsid w:val="00137A50"/>
    <w:rsid w:val="00142A18"/>
    <w:rsid w:val="00142B2E"/>
    <w:rsid w:val="001449EE"/>
    <w:rsid w:val="00146F56"/>
    <w:rsid w:val="0014797C"/>
    <w:rsid w:val="00150D24"/>
    <w:rsid w:val="001519A5"/>
    <w:rsid w:val="00152452"/>
    <w:rsid w:val="001540E2"/>
    <w:rsid w:val="00155EC5"/>
    <w:rsid w:val="00161BE7"/>
    <w:rsid w:val="001631D2"/>
    <w:rsid w:val="001705DB"/>
    <w:rsid w:val="00170856"/>
    <w:rsid w:val="00172E5E"/>
    <w:rsid w:val="00176807"/>
    <w:rsid w:val="00177FEC"/>
    <w:rsid w:val="00181556"/>
    <w:rsid w:val="001825AD"/>
    <w:rsid w:val="00183804"/>
    <w:rsid w:val="001838B5"/>
    <w:rsid w:val="001944D0"/>
    <w:rsid w:val="001964EE"/>
    <w:rsid w:val="00196D7B"/>
    <w:rsid w:val="00197FBF"/>
    <w:rsid w:val="001A0937"/>
    <w:rsid w:val="001A179D"/>
    <w:rsid w:val="001A5114"/>
    <w:rsid w:val="001A6B9D"/>
    <w:rsid w:val="001B4D6A"/>
    <w:rsid w:val="001B521D"/>
    <w:rsid w:val="001B6F0E"/>
    <w:rsid w:val="001C1FC2"/>
    <w:rsid w:val="001C2060"/>
    <w:rsid w:val="001C5F4A"/>
    <w:rsid w:val="001C701D"/>
    <w:rsid w:val="001C7C40"/>
    <w:rsid w:val="001C7F2E"/>
    <w:rsid w:val="001D0D6B"/>
    <w:rsid w:val="001D100D"/>
    <w:rsid w:val="001D481E"/>
    <w:rsid w:val="001D5D3C"/>
    <w:rsid w:val="001D61E3"/>
    <w:rsid w:val="001D7DD9"/>
    <w:rsid w:val="001E27C0"/>
    <w:rsid w:val="001E2ADB"/>
    <w:rsid w:val="001E2D24"/>
    <w:rsid w:val="001E3268"/>
    <w:rsid w:val="001E3BFD"/>
    <w:rsid w:val="001E40C3"/>
    <w:rsid w:val="001E5DFB"/>
    <w:rsid w:val="001E65B9"/>
    <w:rsid w:val="001E737D"/>
    <w:rsid w:val="001F1AA8"/>
    <w:rsid w:val="001F211F"/>
    <w:rsid w:val="001F4392"/>
    <w:rsid w:val="001F7D1C"/>
    <w:rsid w:val="0020223C"/>
    <w:rsid w:val="00207EA3"/>
    <w:rsid w:val="00210E93"/>
    <w:rsid w:val="002127AC"/>
    <w:rsid w:val="00214AB1"/>
    <w:rsid w:val="002153CE"/>
    <w:rsid w:val="0021601D"/>
    <w:rsid w:val="00217BB6"/>
    <w:rsid w:val="0022081B"/>
    <w:rsid w:val="00224393"/>
    <w:rsid w:val="0023365E"/>
    <w:rsid w:val="002337AB"/>
    <w:rsid w:val="0023449C"/>
    <w:rsid w:val="00234A17"/>
    <w:rsid w:val="00234F4A"/>
    <w:rsid w:val="0023523B"/>
    <w:rsid w:val="0024067F"/>
    <w:rsid w:val="00240DBA"/>
    <w:rsid w:val="00243E98"/>
    <w:rsid w:val="00244D39"/>
    <w:rsid w:val="00250AB8"/>
    <w:rsid w:val="00253CFA"/>
    <w:rsid w:val="00255B59"/>
    <w:rsid w:val="00262F2A"/>
    <w:rsid w:val="002639E3"/>
    <w:rsid w:val="00265E75"/>
    <w:rsid w:val="002661F9"/>
    <w:rsid w:val="00267C00"/>
    <w:rsid w:val="002720EB"/>
    <w:rsid w:val="00275723"/>
    <w:rsid w:val="002768BE"/>
    <w:rsid w:val="00277889"/>
    <w:rsid w:val="00281A51"/>
    <w:rsid w:val="00281C92"/>
    <w:rsid w:val="0028692C"/>
    <w:rsid w:val="00287345"/>
    <w:rsid w:val="00291A40"/>
    <w:rsid w:val="002953CE"/>
    <w:rsid w:val="00295D54"/>
    <w:rsid w:val="002962C2"/>
    <w:rsid w:val="00296E7C"/>
    <w:rsid w:val="00296E81"/>
    <w:rsid w:val="002A0C89"/>
    <w:rsid w:val="002A172C"/>
    <w:rsid w:val="002A5EB6"/>
    <w:rsid w:val="002A6402"/>
    <w:rsid w:val="002A777B"/>
    <w:rsid w:val="002A7FA0"/>
    <w:rsid w:val="002B0B0C"/>
    <w:rsid w:val="002B1DF2"/>
    <w:rsid w:val="002B2744"/>
    <w:rsid w:val="002B2BFA"/>
    <w:rsid w:val="002B3234"/>
    <w:rsid w:val="002B3BDA"/>
    <w:rsid w:val="002B3DDF"/>
    <w:rsid w:val="002B58F1"/>
    <w:rsid w:val="002B7FF9"/>
    <w:rsid w:val="002C0A5D"/>
    <w:rsid w:val="002C4ABA"/>
    <w:rsid w:val="002C4C11"/>
    <w:rsid w:val="002C5600"/>
    <w:rsid w:val="002C718E"/>
    <w:rsid w:val="002D041B"/>
    <w:rsid w:val="002D14E8"/>
    <w:rsid w:val="002D58E3"/>
    <w:rsid w:val="002D6F4C"/>
    <w:rsid w:val="002D7455"/>
    <w:rsid w:val="002E4A4D"/>
    <w:rsid w:val="002E7410"/>
    <w:rsid w:val="002F2D51"/>
    <w:rsid w:val="002F54D2"/>
    <w:rsid w:val="00300B4F"/>
    <w:rsid w:val="00303DCE"/>
    <w:rsid w:val="00304B2F"/>
    <w:rsid w:val="00304B49"/>
    <w:rsid w:val="003058B0"/>
    <w:rsid w:val="00310298"/>
    <w:rsid w:val="00310EEA"/>
    <w:rsid w:val="003133E9"/>
    <w:rsid w:val="00313E2A"/>
    <w:rsid w:val="003155EA"/>
    <w:rsid w:val="00317F7E"/>
    <w:rsid w:val="00320862"/>
    <w:rsid w:val="003215E5"/>
    <w:rsid w:val="00321C26"/>
    <w:rsid w:val="00323FBE"/>
    <w:rsid w:val="00326C99"/>
    <w:rsid w:val="00327E2D"/>
    <w:rsid w:val="00333D54"/>
    <w:rsid w:val="00334519"/>
    <w:rsid w:val="00341BE8"/>
    <w:rsid w:val="003448AE"/>
    <w:rsid w:val="003507EF"/>
    <w:rsid w:val="00350EC5"/>
    <w:rsid w:val="003511E0"/>
    <w:rsid w:val="00356B5A"/>
    <w:rsid w:val="003615E9"/>
    <w:rsid w:val="00362C0D"/>
    <w:rsid w:val="0036554D"/>
    <w:rsid w:val="003737C1"/>
    <w:rsid w:val="00373DD0"/>
    <w:rsid w:val="0037401E"/>
    <w:rsid w:val="00374096"/>
    <w:rsid w:val="00375723"/>
    <w:rsid w:val="003761BC"/>
    <w:rsid w:val="003768DE"/>
    <w:rsid w:val="00381D0C"/>
    <w:rsid w:val="00382192"/>
    <w:rsid w:val="003846D6"/>
    <w:rsid w:val="00395B72"/>
    <w:rsid w:val="00395F9B"/>
    <w:rsid w:val="00396D7D"/>
    <w:rsid w:val="00397D96"/>
    <w:rsid w:val="003A2509"/>
    <w:rsid w:val="003A5EB0"/>
    <w:rsid w:val="003B046A"/>
    <w:rsid w:val="003B22F9"/>
    <w:rsid w:val="003B332F"/>
    <w:rsid w:val="003B38E9"/>
    <w:rsid w:val="003B47B2"/>
    <w:rsid w:val="003B7E1B"/>
    <w:rsid w:val="003C01C3"/>
    <w:rsid w:val="003C0E2B"/>
    <w:rsid w:val="003C57BF"/>
    <w:rsid w:val="003C7D75"/>
    <w:rsid w:val="003D1FE3"/>
    <w:rsid w:val="003D3D66"/>
    <w:rsid w:val="003E19CE"/>
    <w:rsid w:val="003E3755"/>
    <w:rsid w:val="003E7660"/>
    <w:rsid w:val="003E788B"/>
    <w:rsid w:val="003F4F1C"/>
    <w:rsid w:val="003F6703"/>
    <w:rsid w:val="003F7740"/>
    <w:rsid w:val="00402C28"/>
    <w:rsid w:val="00403748"/>
    <w:rsid w:val="00403ACA"/>
    <w:rsid w:val="00411614"/>
    <w:rsid w:val="00412F4D"/>
    <w:rsid w:val="00415410"/>
    <w:rsid w:val="00415EAA"/>
    <w:rsid w:val="00417F94"/>
    <w:rsid w:val="0042209A"/>
    <w:rsid w:val="00422991"/>
    <w:rsid w:val="00424C8D"/>
    <w:rsid w:val="004256A8"/>
    <w:rsid w:val="00427DC4"/>
    <w:rsid w:val="004302D2"/>
    <w:rsid w:val="00430C0B"/>
    <w:rsid w:val="00440117"/>
    <w:rsid w:val="00442812"/>
    <w:rsid w:val="00442E65"/>
    <w:rsid w:val="00456B86"/>
    <w:rsid w:val="00462927"/>
    <w:rsid w:val="0046421B"/>
    <w:rsid w:val="00464363"/>
    <w:rsid w:val="00466547"/>
    <w:rsid w:val="00466B02"/>
    <w:rsid w:val="004707F2"/>
    <w:rsid w:val="00472AB2"/>
    <w:rsid w:val="0047475D"/>
    <w:rsid w:val="00474C78"/>
    <w:rsid w:val="00474ED7"/>
    <w:rsid w:val="00476D2F"/>
    <w:rsid w:val="00481662"/>
    <w:rsid w:val="0048502A"/>
    <w:rsid w:val="00485422"/>
    <w:rsid w:val="00485FE8"/>
    <w:rsid w:val="004906A1"/>
    <w:rsid w:val="00490E68"/>
    <w:rsid w:val="004919A4"/>
    <w:rsid w:val="004A009B"/>
    <w:rsid w:val="004A2AFA"/>
    <w:rsid w:val="004A31D5"/>
    <w:rsid w:val="004A3BF4"/>
    <w:rsid w:val="004A4283"/>
    <w:rsid w:val="004A4A5A"/>
    <w:rsid w:val="004A7B9D"/>
    <w:rsid w:val="004B1286"/>
    <w:rsid w:val="004B2967"/>
    <w:rsid w:val="004B61F1"/>
    <w:rsid w:val="004B7139"/>
    <w:rsid w:val="004B7E1E"/>
    <w:rsid w:val="004C23DA"/>
    <w:rsid w:val="004C3F78"/>
    <w:rsid w:val="004C571F"/>
    <w:rsid w:val="004C7E57"/>
    <w:rsid w:val="004D0875"/>
    <w:rsid w:val="004D177A"/>
    <w:rsid w:val="004D508E"/>
    <w:rsid w:val="004D5341"/>
    <w:rsid w:val="004D5F52"/>
    <w:rsid w:val="004D7DE1"/>
    <w:rsid w:val="004E2023"/>
    <w:rsid w:val="004E4831"/>
    <w:rsid w:val="004E599A"/>
    <w:rsid w:val="004E5EBD"/>
    <w:rsid w:val="004E6572"/>
    <w:rsid w:val="004F05C0"/>
    <w:rsid w:val="004F7081"/>
    <w:rsid w:val="00500232"/>
    <w:rsid w:val="0051036D"/>
    <w:rsid w:val="00514BA2"/>
    <w:rsid w:val="0051595E"/>
    <w:rsid w:val="00517003"/>
    <w:rsid w:val="005179AF"/>
    <w:rsid w:val="00520E8E"/>
    <w:rsid w:val="00523DCE"/>
    <w:rsid w:val="00524C63"/>
    <w:rsid w:val="00524D51"/>
    <w:rsid w:val="00526511"/>
    <w:rsid w:val="005302C7"/>
    <w:rsid w:val="005303F0"/>
    <w:rsid w:val="0053288C"/>
    <w:rsid w:val="0053387E"/>
    <w:rsid w:val="00534131"/>
    <w:rsid w:val="00535DE3"/>
    <w:rsid w:val="0053685A"/>
    <w:rsid w:val="00537879"/>
    <w:rsid w:val="00541544"/>
    <w:rsid w:val="005429E1"/>
    <w:rsid w:val="005433CE"/>
    <w:rsid w:val="00545E9D"/>
    <w:rsid w:val="00550484"/>
    <w:rsid w:val="005524CA"/>
    <w:rsid w:val="0055304D"/>
    <w:rsid w:val="00553714"/>
    <w:rsid w:val="00554372"/>
    <w:rsid w:val="00555C5A"/>
    <w:rsid w:val="005606EA"/>
    <w:rsid w:val="00560B49"/>
    <w:rsid w:val="00563C04"/>
    <w:rsid w:val="00566018"/>
    <w:rsid w:val="00567576"/>
    <w:rsid w:val="00567FE0"/>
    <w:rsid w:val="0057153B"/>
    <w:rsid w:val="00575329"/>
    <w:rsid w:val="005853EB"/>
    <w:rsid w:val="005925D4"/>
    <w:rsid w:val="005928F4"/>
    <w:rsid w:val="00593E4B"/>
    <w:rsid w:val="00595287"/>
    <w:rsid w:val="005A2BD2"/>
    <w:rsid w:val="005A4A96"/>
    <w:rsid w:val="005A4BCF"/>
    <w:rsid w:val="005A5C57"/>
    <w:rsid w:val="005B1D76"/>
    <w:rsid w:val="005B61C2"/>
    <w:rsid w:val="005C061A"/>
    <w:rsid w:val="005C09B7"/>
    <w:rsid w:val="005C69B8"/>
    <w:rsid w:val="005C7112"/>
    <w:rsid w:val="005D1601"/>
    <w:rsid w:val="005E5716"/>
    <w:rsid w:val="005E58EE"/>
    <w:rsid w:val="005E58F8"/>
    <w:rsid w:val="005F10F4"/>
    <w:rsid w:val="005F16EE"/>
    <w:rsid w:val="005F1B30"/>
    <w:rsid w:val="005F37C6"/>
    <w:rsid w:val="005F79CF"/>
    <w:rsid w:val="0060199E"/>
    <w:rsid w:val="00602F79"/>
    <w:rsid w:val="00605675"/>
    <w:rsid w:val="006064DE"/>
    <w:rsid w:val="00607C53"/>
    <w:rsid w:val="00612688"/>
    <w:rsid w:val="00613D80"/>
    <w:rsid w:val="00613EBE"/>
    <w:rsid w:val="00616916"/>
    <w:rsid w:val="006175ED"/>
    <w:rsid w:val="00622924"/>
    <w:rsid w:val="00624662"/>
    <w:rsid w:val="006248EE"/>
    <w:rsid w:val="0062691D"/>
    <w:rsid w:val="006320D2"/>
    <w:rsid w:val="00633B2B"/>
    <w:rsid w:val="0063422E"/>
    <w:rsid w:val="0063541E"/>
    <w:rsid w:val="006367E8"/>
    <w:rsid w:val="00636B15"/>
    <w:rsid w:val="0064367D"/>
    <w:rsid w:val="006440C3"/>
    <w:rsid w:val="0065110F"/>
    <w:rsid w:val="0065178C"/>
    <w:rsid w:val="006518E5"/>
    <w:rsid w:val="00652382"/>
    <w:rsid w:val="0065357C"/>
    <w:rsid w:val="00654B1F"/>
    <w:rsid w:val="00661A8D"/>
    <w:rsid w:val="00662180"/>
    <w:rsid w:val="00664355"/>
    <w:rsid w:val="006643EF"/>
    <w:rsid w:val="00665FC4"/>
    <w:rsid w:val="00666964"/>
    <w:rsid w:val="00666DB9"/>
    <w:rsid w:val="00667D4D"/>
    <w:rsid w:val="00670A42"/>
    <w:rsid w:val="00671BFB"/>
    <w:rsid w:val="006730D5"/>
    <w:rsid w:val="00673554"/>
    <w:rsid w:val="00674036"/>
    <w:rsid w:val="00676060"/>
    <w:rsid w:val="00680B43"/>
    <w:rsid w:val="006837F9"/>
    <w:rsid w:val="00683E2A"/>
    <w:rsid w:val="00686E1A"/>
    <w:rsid w:val="0068721B"/>
    <w:rsid w:val="006914F1"/>
    <w:rsid w:val="00694C03"/>
    <w:rsid w:val="006A10FA"/>
    <w:rsid w:val="006A13E9"/>
    <w:rsid w:val="006A2601"/>
    <w:rsid w:val="006A3702"/>
    <w:rsid w:val="006A5B98"/>
    <w:rsid w:val="006A621C"/>
    <w:rsid w:val="006A6A59"/>
    <w:rsid w:val="006B01C4"/>
    <w:rsid w:val="006B109E"/>
    <w:rsid w:val="006B5176"/>
    <w:rsid w:val="006B719D"/>
    <w:rsid w:val="006B7745"/>
    <w:rsid w:val="006C1FF6"/>
    <w:rsid w:val="006C474E"/>
    <w:rsid w:val="006C6121"/>
    <w:rsid w:val="006C7D07"/>
    <w:rsid w:val="006D1C37"/>
    <w:rsid w:val="006D398D"/>
    <w:rsid w:val="006D5FFE"/>
    <w:rsid w:val="006D715D"/>
    <w:rsid w:val="006E3C8C"/>
    <w:rsid w:val="006E5A73"/>
    <w:rsid w:val="006E5A9E"/>
    <w:rsid w:val="006E5C0F"/>
    <w:rsid w:val="006E712A"/>
    <w:rsid w:val="006F0D64"/>
    <w:rsid w:val="006F1359"/>
    <w:rsid w:val="006F16B2"/>
    <w:rsid w:val="006F1B3E"/>
    <w:rsid w:val="006F1C6F"/>
    <w:rsid w:val="006F655A"/>
    <w:rsid w:val="006F7BDC"/>
    <w:rsid w:val="0070580E"/>
    <w:rsid w:val="00706C16"/>
    <w:rsid w:val="007073EA"/>
    <w:rsid w:val="00711A03"/>
    <w:rsid w:val="00712EFC"/>
    <w:rsid w:val="00713F17"/>
    <w:rsid w:val="007201EB"/>
    <w:rsid w:val="00723285"/>
    <w:rsid w:val="007233A0"/>
    <w:rsid w:val="007238B0"/>
    <w:rsid w:val="0072449D"/>
    <w:rsid w:val="00725F12"/>
    <w:rsid w:val="007260E9"/>
    <w:rsid w:val="00733A14"/>
    <w:rsid w:val="0073657C"/>
    <w:rsid w:val="007408DD"/>
    <w:rsid w:val="00747854"/>
    <w:rsid w:val="00751C87"/>
    <w:rsid w:val="007531A1"/>
    <w:rsid w:val="00763110"/>
    <w:rsid w:val="007640C1"/>
    <w:rsid w:val="00764C28"/>
    <w:rsid w:val="007660C7"/>
    <w:rsid w:val="0077189E"/>
    <w:rsid w:val="0077461A"/>
    <w:rsid w:val="00774BFE"/>
    <w:rsid w:val="00777BA8"/>
    <w:rsid w:val="00780701"/>
    <w:rsid w:val="00785241"/>
    <w:rsid w:val="00785B8B"/>
    <w:rsid w:val="00785CFE"/>
    <w:rsid w:val="007863F2"/>
    <w:rsid w:val="00793E0A"/>
    <w:rsid w:val="00795CE5"/>
    <w:rsid w:val="007A151B"/>
    <w:rsid w:val="007A52B8"/>
    <w:rsid w:val="007A63BF"/>
    <w:rsid w:val="007A7107"/>
    <w:rsid w:val="007B19E0"/>
    <w:rsid w:val="007B2237"/>
    <w:rsid w:val="007B3154"/>
    <w:rsid w:val="007C0E82"/>
    <w:rsid w:val="007C283F"/>
    <w:rsid w:val="007C4FCD"/>
    <w:rsid w:val="007C5367"/>
    <w:rsid w:val="007C7985"/>
    <w:rsid w:val="007D5668"/>
    <w:rsid w:val="007D601A"/>
    <w:rsid w:val="007E1206"/>
    <w:rsid w:val="007E1A09"/>
    <w:rsid w:val="007E218E"/>
    <w:rsid w:val="007E5DA6"/>
    <w:rsid w:val="007E7F84"/>
    <w:rsid w:val="007F017C"/>
    <w:rsid w:val="007F1231"/>
    <w:rsid w:val="007F51EA"/>
    <w:rsid w:val="007F53DE"/>
    <w:rsid w:val="007F6AF8"/>
    <w:rsid w:val="007F7B5C"/>
    <w:rsid w:val="00801D4D"/>
    <w:rsid w:val="00804716"/>
    <w:rsid w:val="00805519"/>
    <w:rsid w:val="00815200"/>
    <w:rsid w:val="00820EDD"/>
    <w:rsid w:val="0082171C"/>
    <w:rsid w:val="00822A43"/>
    <w:rsid w:val="00823641"/>
    <w:rsid w:val="00825695"/>
    <w:rsid w:val="00826566"/>
    <w:rsid w:val="0082683B"/>
    <w:rsid w:val="00830160"/>
    <w:rsid w:val="00830477"/>
    <w:rsid w:val="008307FB"/>
    <w:rsid w:val="00830DA8"/>
    <w:rsid w:val="00831147"/>
    <w:rsid w:val="008327C9"/>
    <w:rsid w:val="008336C6"/>
    <w:rsid w:val="00834A0F"/>
    <w:rsid w:val="00836493"/>
    <w:rsid w:val="00845288"/>
    <w:rsid w:val="00846DA2"/>
    <w:rsid w:val="008531F0"/>
    <w:rsid w:val="00855037"/>
    <w:rsid w:val="00860923"/>
    <w:rsid w:val="00861FFC"/>
    <w:rsid w:val="00863047"/>
    <w:rsid w:val="00863E94"/>
    <w:rsid w:val="00865243"/>
    <w:rsid w:val="00866536"/>
    <w:rsid w:val="0087482B"/>
    <w:rsid w:val="00874E8C"/>
    <w:rsid w:val="008767DB"/>
    <w:rsid w:val="008775AC"/>
    <w:rsid w:val="008800AB"/>
    <w:rsid w:val="00881017"/>
    <w:rsid w:val="00882986"/>
    <w:rsid w:val="0088396C"/>
    <w:rsid w:val="008857A8"/>
    <w:rsid w:val="00885AB2"/>
    <w:rsid w:val="00886491"/>
    <w:rsid w:val="0088699E"/>
    <w:rsid w:val="008870AB"/>
    <w:rsid w:val="008912EF"/>
    <w:rsid w:val="0089181E"/>
    <w:rsid w:val="008932AA"/>
    <w:rsid w:val="00894596"/>
    <w:rsid w:val="00895300"/>
    <w:rsid w:val="008A04D1"/>
    <w:rsid w:val="008A1C96"/>
    <w:rsid w:val="008A1D29"/>
    <w:rsid w:val="008A22C2"/>
    <w:rsid w:val="008A56C4"/>
    <w:rsid w:val="008B0A9C"/>
    <w:rsid w:val="008B2861"/>
    <w:rsid w:val="008B3441"/>
    <w:rsid w:val="008B5872"/>
    <w:rsid w:val="008C4DE7"/>
    <w:rsid w:val="008C4F14"/>
    <w:rsid w:val="008C535A"/>
    <w:rsid w:val="008C5B44"/>
    <w:rsid w:val="008C72BD"/>
    <w:rsid w:val="008D2AE3"/>
    <w:rsid w:val="008D3584"/>
    <w:rsid w:val="008E0CA0"/>
    <w:rsid w:val="008E1A5C"/>
    <w:rsid w:val="008E267E"/>
    <w:rsid w:val="008E48C6"/>
    <w:rsid w:val="008E6D07"/>
    <w:rsid w:val="008E7877"/>
    <w:rsid w:val="008F11D6"/>
    <w:rsid w:val="008F2E4D"/>
    <w:rsid w:val="008F3EB8"/>
    <w:rsid w:val="00905014"/>
    <w:rsid w:val="00915B5B"/>
    <w:rsid w:val="009162C1"/>
    <w:rsid w:val="0092461B"/>
    <w:rsid w:val="00926DFF"/>
    <w:rsid w:val="00926E73"/>
    <w:rsid w:val="00933C70"/>
    <w:rsid w:val="00935332"/>
    <w:rsid w:val="00935B20"/>
    <w:rsid w:val="00937A8E"/>
    <w:rsid w:val="00941899"/>
    <w:rsid w:val="00944AD1"/>
    <w:rsid w:val="009468F9"/>
    <w:rsid w:val="00946C58"/>
    <w:rsid w:val="009514AF"/>
    <w:rsid w:val="00954D4B"/>
    <w:rsid w:val="009574BB"/>
    <w:rsid w:val="009637D0"/>
    <w:rsid w:val="0096447F"/>
    <w:rsid w:val="00964B9B"/>
    <w:rsid w:val="00966F00"/>
    <w:rsid w:val="00972AA9"/>
    <w:rsid w:val="00972BDE"/>
    <w:rsid w:val="00981A3B"/>
    <w:rsid w:val="00982B99"/>
    <w:rsid w:val="00986150"/>
    <w:rsid w:val="009907E4"/>
    <w:rsid w:val="00991FB8"/>
    <w:rsid w:val="00994BC0"/>
    <w:rsid w:val="009A0790"/>
    <w:rsid w:val="009A3CA3"/>
    <w:rsid w:val="009A5A02"/>
    <w:rsid w:val="009A64C1"/>
    <w:rsid w:val="009A6A93"/>
    <w:rsid w:val="009B0F67"/>
    <w:rsid w:val="009B40FF"/>
    <w:rsid w:val="009B73F1"/>
    <w:rsid w:val="009B77D8"/>
    <w:rsid w:val="009C2755"/>
    <w:rsid w:val="009C462B"/>
    <w:rsid w:val="009C4E27"/>
    <w:rsid w:val="009C5EEA"/>
    <w:rsid w:val="009C7503"/>
    <w:rsid w:val="009D018C"/>
    <w:rsid w:val="009D0945"/>
    <w:rsid w:val="009D12EA"/>
    <w:rsid w:val="009D1621"/>
    <w:rsid w:val="009D27B0"/>
    <w:rsid w:val="009D7745"/>
    <w:rsid w:val="009E0494"/>
    <w:rsid w:val="009E1FCD"/>
    <w:rsid w:val="009E2C2F"/>
    <w:rsid w:val="009E311D"/>
    <w:rsid w:val="009E3952"/>
    <w:rsid w:val="009E5635"/>
    <w:rsid w:val="009F04E6"/>
    <w:rsid w:val="009F319B"/>
    <w:rsid w:val="009F4DB4"/>
    <w:rsid w:val="009F6C70"/>
    <w:rsid w:val="00A0179E"/>
    <w:rsid w:val="00A03A01"/>
    <w:rsid w:val="00A11534"/>
    <w:rsid w:val="00A11C54"/>
    <w:rsid w:val="00A13608"/>
    <w:rsid w:val="00A16C5C"/>
    <w:rsid w:val="00A171B3"/>
    <w:rsid w:val="00A20570"/>
    <w:rsid w:val="00A243DE"/>
    <w:rsid w:val="00A30A8D"/>
    <w:rsid w:val="00A330EF"/>
    <w:rsid w:val="00A37583"/>
    <w:rsid w:val="00A4120F"/>
    <w:rsid w:val="00A452B6"/>
    <w:rsid w:val="00A456B7"/>
    <w:rsid w:val="00A465EE"/>
    <w:rsid w:val="00A47584"/>
    <w:rsid w:val="00A47A9C"/>
    <w:rsid w:val="00A51BC2"/>
    <w:rsid w:val="00A52F39"/>
    <w:rsid w:val="00A54F78"/>
    <w:rsid w:val="00A54FA6"/>
    <w:rsid w:val="00A611EA"/>
    <w:rsid w:val="00A626DB"/>
    <w:rsid w:val="00A63E4A"/>
    <w:rsid w:val="00A6491A"/>
    <w:rsid w:val="00A66E11"/>
    <w:rsid w:val="00A71170"/>
    <w:rsid w:val="00A712F6"/>
    <w:rsid w:val="00A77DD6"/>
    <w:rsid w:val="00A808E8"/>
    <w:rsid w:val="00A80AF4"/>
    <w:rsid w:val="00A8295B"/>
    <w:rsid w:val="00A82ABB"/>
    <w:rsid w:val="00A8787A"/>
    <w:rsid w:val="00A9032C"/>
    <w:rsid w:val="00A91891"/>
    <w:rsid w:val="00A918E9"/>
    <w:rsid w:val="00A92EFD"/>
    <w:rsid w:val="00A95685"/>
    <w:rsid w:val="00A966F0"/>
    <w:rsid w:val="00AA06E8"/>
    <w:rsid w:val="00AA0B47"/>
    <w:rsid w:val="00AA1E41"/>
    <w:rsid w:val="00AA2287"/>
    <w:rsid w:val="00AA5FFB"/>
    <w:rsid w:val="00AB239C"/>
    <w:rsid w:val="00AB5A49"/>
    <w:rsid w:val="00AB7223"/>
    <w:rsid w:val="00AC5011"/>
    <w:rsid w:val="00AC54FF"/>
    <w:rsid w:val="00AC5FF2"/>
    <w:rsid w:val="00AD02D6"/>
    <w:rsid w:val="00AD2776"/>
    <w:rsid w:val="00AD7645"/>
    <w:rsid w:val="00AE27B0"/>
    <w:rsid w:val="00AE2FB0"/>
    <w:rsid w:val="00AE5B46"/>
    <w:rsid w:val="00AE5DBA"/>
    <w:rsid w:val="00AE6466"/>
    <w:rsid w:val="00AE6F54"/>
    <w:rsid w:val="00AF0979"/>
    <w:rsid w:val="00AF1F23"/>
    <w:rsid w:val="00AF3681"/>
    <w:rsid w:val="00AF5CB7"/>
    <w:rsid w:val="00AF74C5"/>
    <w:rsid w:val="00B00512"/>
    <w:rsid w:val="00B04671"/>
    <w:rsid w:val="00B12BFF"/>
    <w:rsid w:val="00B134D2"/>
    <w:rsid w:val="00B21376"/>
    <w:rsid w:val="00B22D5A"/>
    <w:rsid w:val="00B23A53"/>
    <w:rsid w:val="00B255AF"/>
    <w:rsid w:val="00B27696"/>
    <w:rsid w:val="00B306AB"/>
    <w:rsid w:val="00B31522"/>
    <w:rsid w:val="00B32031"/>
    <w:rsid w:val="00B326C2"/>
    <w:rsid w:val="00B3697A"/>
    <w:rsid w:val="00B40A4C"/>
    <w:rsid w:val="00B416B0"/>
    <w:rsid w:val="00B5048D"/>
    <w:rsid w:val="00B52425"/>
    <w:rsid w:val="00B53615"/>
    <w:rsid w:val="00B53E8A"/>
    <w:rsid w:val="00B54C29"/>
    <w:rsid w:val="00B5785E"/>
    <w:rsid w:val="00B57B69"/>
    <w:rsid w:val="00B60655"/>
    <w:rsid w:val="00B6104B"/>
    <w:rsid w:val="00B631AC"/>
    <w:rsid w:val="00B636EA"/>
    <w:rsid w:val="00B63850"/>
    <w:rsid w:val="00B648DA"/>
    <w:rsid w:val="00B70DD6"/>
    <w:rsid w:val="00B77B25"/>
    <w:rsid w:val="00B84359"/>
    <w:rsid w:val="00B848DD"/>
    <w:rsid w:val="00B91404"/>
    <w:rsid w:val="00B92F5F"/>
    <w:rsid w:val="00B964AB"/>
    <w:rsid w:val="00B96600"/>
    <w:rsid w:val="00B96748"/>
    <w:rsid w:val="00B97F44"/>
    <w:rsid w:val="00BA0404"/>
    <w:rsid w:val="00BA0969"/>
    <w:rsid w:val="00BA19A0"/>
    <w:rsid w:val="00BA28DB"/>
    <w:rsid w:val="00BA3B55"/>
    <w:rsid w:val="00BA609C"/>
    <w:rsid w:val="00BA78FB"/>
    <w:rsid w:val="00BB0D4D"/>
    <w:rsid w:val="00BB1E59"/>
    <w:rsid w:val="00BB33FD"/>
    <w:rsid w:val="00BB347F"/>
    <w:rsid w:val="00BB68C9"/>
    <w:rsid w:val="00BB6C16"/>
    <w:rsid w:val="00BC04EA"/>
    <w:rsid w:val="00BC0977"/>
    <w:rsid w:val="00BC79C6"/>
    <w:rsid w:val="00BD0C32"/>
    <w:rsid w:val="00BD2D49"/>
    <w:rsid w:val="00BD415A"/>
    <w:rsid w:val="00BD4EFA"/>
    <w:rsid w:val="00BD77B8"/>
    <w:rsid w:val="00BE0059"/>
    <w:rsid w:val="00BE1D86"/>
    <w:rsid w:val="00BE236D"/>
    <w:rsid w:val="00BE488E"/>
    <w:rsid w:val="00BF132D"/>
    <w:rsid w:val="00BF2053"/>
    <w:rsid w:val="00BF25C8"/>
    <w:rsid w:val="00BF3194"/>
    <w:rsid w:val="00BF3B62"/>
    <w:rsid w:val="00BF6757"/>
    <w:rsid w:val="00C00467"/>
    <w:rsid w:val="00C04DA8"/>
    <w:rsid w:val="00C05D32"/>
    <w:rsid w:val="00C0647E"/>
    <w:rsid w:val="00C07AB7"/>
    <w:rsid w:val="00C1021F"/>
    <w:rsid w:val="00C10753"/>
    <w:rsid w:val="00C10A58"/>
    <w:rsid w:val="00C115F1"/>
    <w:rsid w:val="00C11E63"/>
    <w:rsid w:val="00C1234C"/>
    <w:rsid w:val="00C127BC"/>
    <w:rsid w:val="00C12AF0"/>
    <w:rsid w:val="00C1435D"/>
    <w:rsid w:val="00C15E38"/>
    <w:rsid w:val="00C1693B"/>
    <w:rsid w:val="00C17602"/>
    <w:rsid w:val="00C2068D"/>
    <w:rsid w:val="00C22A26"/>
    <w:rsid w:val="00C234A9"/>
    <w:rsid w:val="00C245F6"/>
    <w:rsid w:val="00C2740F"/>
    <w:rsid w:val="00C31A83"/>
    <w:rsid w:val="00C35203"/>
    <w:rsid w:val="00C40AA1"/>
    <w:rsid w:val="00C41BBB"/>
    <w:rsid w:val="00C47FEC"/>
    <w:rsid w:val="00C53109"/>
    <w:rsid w:val="00C53A7A"/>
    <w:rsid w:val="00C54ABB"/>
    <w:rsid w:val="00C57823"/>
    <w:rsid w:val="00C606D3"/>
    <w:rsid w:val="00C64387"/>
    <w:rsid w:val="00C6554B"/>
    <w:rsid w:val="00C66431"/>
    <w:rsid w:val="00C67093"/>
    <w:rsid w:val="00C718E0"/>
    <w:rsid w:val="00C81A96"/>
    <w:rsid w:val="00C905AE"/>
    <w:rsid w:val="00C92B14"/>
    <w:rsid w:val="00C9349B"/>
    <w:rsid w:val="00C948C6"/>
    <w:rsid w:val="00C96C2B"/>
    <w:rsid w:val="00C97BEA"/>
    <w:rsid w:val="00C97EB3"/>
    <w:rsid w:val="00CA0825"/>
    <w:rsid w:val="00CB2496"/>
    <w:rsid w:val="00CB7266"/>
    <w:rsid w:val="00CB7A11"/>
    <w:rsid w:val="00CB7B35"/>
    <w:rsid w:val="00CC181B"/>
    <w:rsid w:val="00CD083A"/>
    <w:rsid w:val="00CD3251"/>
    <w:rsid w:val="00CD3B33"/>
    <w:rsid w:val="00CD4D94"/>
    <w:rsid w:val="00CE14D6"/>
    <w:rsid w:val="00CE15B4"/>
    <w:rsid w:val="00CE1831"/>
    <w:rsid w:val="00CE7B90"/>
    <w:rsid w:val="00CF0CF5"/>
    <w:rsid w:val="00CF425B"/>
    <w:rsid w:val="00D007E0"/>
    <w:rsid w:val="00D0162C"/>
    <w:rsid w:val="00D02111"/>
    <w:rsid w:val="00D02D91"/>
    <w:rsid w:val="00D03EA2"/>
    <w:rsid w:val="00D04E13"/>
    <w:rsid w:val="00D0566C"/>
    <w:rsid w:val="00D059C3"/>
    <w:rsid w:val="00D05EB0"/>
    <w:rsid w:val="00D06042"/>
    <w:rsid w:val="00D07A9D"/>
    <w:rsid w:val="00D12CBA"/>
    <w:rsid w:val="00D15B55"/>
    <w:rsid w:val="00D1781B"/>
    <w:rsid w:val="00D235E6"/>
    <w:rsid w:val="00D23876"/>
    <w:rsid w:val="00D25184"/>
    <w:rsid w:val="00D26BAC"/>
    <w:rsid w:val="00D31716"/>
    <w:rsid w:val="00D340E2"/>
    <w:rsid w:val="00D34527"/>
    <w:rsid w:val="00D366C3"/>
    <w:rsid w:val="00D370CF"/>
    <w:rsid w:val="00D37C1F"/>
    <w:rsid w:val="00D430DC"/>
    <w:rsid w:val="00D43FC1"/>
    <w:rsid w:val="00D455E3"/>
    <w:rsid w:val="00D50888"/>
    <w:rsid w:val="00D518E5"/>
    <w:rsid w:val="00D52F0C"/>
    <w:rsid w:val="00D537FD"/>
    <w:rsid w:val="00D5389B"/>
    <w:rsid w:val="00D542E9"/>
    <w:rsid w:val="00D56451"/>
    <w:rsid w:val="00D578AE"/>
    <w:rsid w:val="00D602E5"/>
    <w:rsid w:val="00D6170E"/>
    <w:rsid w:val="00D61754"/>
    <w:rsid w:val="00D62B44"/>
    <w:rsid w:val="00D630E2"/>
    <w:rsid w:val="00D63E5A"/>
    <w:rsid w:val="00D64268"/>
    <w:rsid w:val="00D64543"/>
    <w:rsid w:val="00D6567F"/>
    <w:rsid w:val="00D66CC7"/>
    <w:rsid w:val="00D713DA"/>
    <w:rsid w:val="00D71A11"/>
    <w:rsid w:val="00D74044"/>
    <w:rsid w:val="00D744E5"/>
    <w:rsid w:val="00D74774"/>
    <w:rsid w:val="00D81ACE"/>
    <w:rsid w:val="00D81CBC"/>
    <w:rsid w:val="00D85FBC"/>
    <w:rsid w:val="00D8684D"/>
    <w:rsid w:val="00D86CCE"/>
    <w:rsid w:val="00D922F7"/>
    <w:rsid w:val="00D93767"/>
    <w:rsid w:val="00D95987"/>
    <w:rsid w:val="00D97FC8"/>
    <w:rsid w:val="00DA0ABA"/>
    <w:rsid w:val="00DA1120"/>
    <w:rsid w:val="00DA1345"/>
    <w:rsid w:val="00DA3498"/>
    <w:rsid w:val="00DA34B5"/>
    <w:rsid w:val="00DA3C68"/>
    <w:rsid w:val="00DA5A25"/>
    <w:rsid w:val="00DA5FAC"/>
    <w:rsid w:val="00DA7230"/>
    <w:rsid w:val="00DB0509"/>
    <w:rsid w:val="00DB0F0B"/>
    <w:rsid w:val="00DB14B1"/>
    <w:rsid w:val="00DB3424"/>
    <w:rsid w:val="00DB45D8"/>
    <w:rsid w:val="00DC1628"/>
    <w:rsid w:val="00DC40BD"/>
    <w:rsid w:val="00DC52E1"/>
    <w:rsid w:val="00DD21D4"/>
    <w:rsid w:val="00DD4F3B"/>
    <w:rsid w:val="00DD66D8"/>
    <w:rsid w:val="00DE1D40"/>
    <w:rsid w:val="00DE303C"/>
    <w:rsid w:val="00DE3297"/>
    <w:rsid w:val="00DE5AD4"/>
    <w:rsid w:val="00DF0FAC"/>
    <w:rsid w:val="00DF1B46"/>
    <w:rsid w:val="00DF566F"/>
    <w:rsid w:val="00DF5E05"/>
    <w:rsid w:val="00E02125"/>
    <w:rsid w:val="00E03A67"/>
    <w:rsid w:val="00E06D68"/>
    <w:rsid w:val="00E07929"/>
    <w:rsid w:val="00E07946"/>
    <w:rsid w:val="00E12244"/>
    <w:rsid w:val="00E15C35"/>
    <w:rsid w:val="00E15EEB"/>
    <w:rsid w:val="00E160D8"/>
    <w:rsid w:val="00E16780"/>
    <w:rsid w:val="00E17AB2"/>
    <w:rsid w:val="00E2095E"/>
    <w:rsid w:val="00E2212F"/>
    <w:rsid w:val="00E22867"/>
    <w:rsid w:val="00E266C4"/>
    <w:rsid w:val="00E36E78"/>
    <w:rsid w:val="00E37295"/>
    <w:rsid w:val="00E37CF8"/>
    <w:rsid w:val="00E4164C"/>
    <w:rsid w:val="00E41971"/>
    <w:rsid w:val="00E41A69"/>
    <w:rsid w:val="00E429F9"/>
    <w:rsid w:val="00E42ACA"/>
    <w:rsid w:val="00E4304F"/>
    <w:rsid w:val="00E47B8C"/>
    <w:rsid w:val="00E50DC7"/>
    <w:rsid w:val="00E53A3F"/>
    <w:rsid w:val="00E54DAA"/>
    <w:rsid w:val="00E578D1"/>
    <w:rsid w:val="00E611F6"/>
    <w:rsid w:val="00E63BB9"/>
    <w:rsid w:val="00E65C9D"/>
    <w:rsid w:val="00E67FD4"/>
    <w:rsid w:val="00E737BF"/>
    <w:rsid w:val="00E7514F"/>
    <w:rsid w:val="00E7525D"/>
    <w:rsid w:val="00E7676D"/>
    <w:rsid w:val="00E77B81"/>
    <w:rsid w:val="00E818D4"/>
    <w:rsid w:val="00E8197D"/>
    <w:rsid w:val="00E83E00"/>
    <w:rsid w:val="00E84213"/>
    <w:rsid w:val="00E856F2"/>
    <w:rsid w:val="00E910FF"/>
    <w:rsid w:val="00E92E08"/>
    <w:rsid w:val="00E95883"/>
    <w:rsid w:val="00E962CD"/>
    <w:rsid w:val="00EA1A6C"/>
    <w:rsid w:val="00EA406A"/>
    <w:rsid w:val="00EA416D"/>
    <w:rsid w:val="00EA7B6A"/>
    <w:rsid w:val="00EB58DB"/>
    <w:rsid w:val="00EB7D33"/>
    <w:rsid w:val="00EC3989"/>
    <w:rsid w:val="00EC3EB8"/>
    <w:rsid w:val="00EC5947"/>
    <w:rsid w:val="00ED34A7"/>
    <w:rsid w:val="00ED442A"/>
    <w:rsid w:val="00ED4E5B"/>
    <w:rsid w:val="00EE1F45"/>
    <w:rsid w:val="00EE2970"/>
    <w:rsid w:val="00EE5601"/>
    <w:rsid w:val="00EF0633"/>
    <w:rsid w:val="00EF1277"/>
    <w:rsid w:val="00EF23EF"/>
    <w:rsid w:val="00EF365F"/>
    <w:rsid w:val="00EF39AC"/>
    <w:rsid w:val="00EF4E32"/>
    <w:rsid w:val="00EF60D4"/>
    <w:rsid w:val="00EF7E4C"/>
    <w:rsid w:val="00F01DDB"/>
    <w:rsid w:val="00F02AA6"/>
    <w:rsid w:val="00F0521E"/>
    <w:rsid w:val="00F06858"/>
    <w:rsid w:val="00F1113D"/>
    <w:rsid w:val="00F12701"/>
    <w:rsid w:val="00F22AEA"/>
    <w:rsid w:val="00F2498F"/>
    <w:rsid w:val="00F2580E"/>
    <w:rsid w:val="00F27AB5"/>
    <w:rsid w:val="00F352D0"/>
    <w:rsid w:val="00F36496"/>
    <w:rsid w:val="00F40956"/>
    <w:rsid w:val="00F43A8F"/>
    <w:rsid w:val="00F43B01"/>
    <w:rsid w:val="00F514CA"/>
    <w:rsid w:val="00F53561"/>
    <w:rsid w:val="00F57680"/>
    <w:rsid w:val="00F61047"/>
    <w:rsid w:val="00F647E9"/>
    <w:rsid w:val="00F65176"/>
    <w:rsid w:val="00F72173"/>
    <w:rsid w:val="00F74237"/>
    <w:rsid w:val="00F814B9"/>
    <w:rsid w:val="00F81A5D"/>
    <w:rsid w:val="00F81CEE"/>
    <w:rsid w:val="00F8237C"/>
    <w:rsid w:val="00F85462"/>
    <w:rsid w:val="00F91A7B"/>
    <w:rsid w:val="00F94AED"/>
    <w:rsid w:val="00F96FAA"/>
    <w:rsid w:val="00FA1257"/>
    <w:rsid w:val="00FA2207"/>
    <w:rsid w:val="00FA29F6"/>
    <w:rsid w:val="00FA3215"/>
    <w:rsid w:val="00FA5EF2"/>
    <w:rsid w:val="00FA674D"/>
    <w:rsid w:val="00FA756A"/>
    <w:rsid w:val="00FA78EE"/>
    <w:rsid w:val="00FB18C1"/>
    <w:rsid w:val="00FB1CD9"/>
    <w:rsid w:val="00FB3ECE"/>
    <w:rsid w:val="00FB40D5"/>
    <w:rsid w:val="00FB4D77"/>
    <w:rsid w:val="00FB5C86"/>
    <w:rsid w:val="00FC013A"/>
    <w:rsid w:val="00FC4644"/>
    <w:rsid w:val="00FC5EBA"/>
    <w:rsid w:val="00FD0525"/>
    <w:rsid w:val="00FD0A6B"/>
    <w:rsid w:val="00FD16E7"/>
    <w:rsid w:val="00FD34DE"/>
    <w:rsid w:val="00FD68D5"/>
    <w:rsid w:val="00FD6C0C"/>
    <w:rsid w:val="00FE482B"/>
    <w:rsid w:val="00FE4AF4"/>
    <w:rsid w:val="00FE6A4D"/>
    <w:rsid w:val="00FE7A03"/>
    <w:rsid w:val="00FF0185"/>
    <w:rsid w:val="00FF3216"/>
    <w:rsid w:val="00FF67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14:docId w14:val="2AB68EFD"/>
  <w15:docId w15:val="{816F2568-BC75-4269-BB94-32B6B46FE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F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5A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5A25"/>
    <w:rPr>
      <w:rFonts w:ascii="Tahoma" w:hAnsi="Tahoma" w:cs="Tahoma"/>
      <w:sz w:val="16"/>
      <w:szCs w:val="16"/>
    </w:rPr>
  </w:style>
  <w:style w:type="paragraph" w:styleId="Header">
    <w:name w:val="header"/>
    <w:basedOn w:val="Normal"/>
    <w:link w:val="HeaderChar"/>
    <w:uiPriority w:val="99"/>
    <w:unhideWhenUsed/>
    <w:rsid w:val="002344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449C"/>
  </w:style>
  <w:style w:type="paragraph" w:styleId="Footer">
    <w:name w:val="footer"/>
    <w:basedOn w:val="Normal"/>
    <w:link w:val="FooterChar"/>
    <w:uiPriority w:val="99"/>
    <w:unhideWhenUsed/>
    <w:rsid w:val="002344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449C"/>
  </w:style>
  <w:style w:type="table" w:styleId="TableGrid">
    <w:name w:val="Table Grid"/>
    <w:basedOn w:val="TableNormal"/>
    <w:uiPriority w:val="59"/>
    <w:rsid w:val="006A26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23A53"/>
    <w:pPr>
      <w:ind w:left="720"/>
      <w:contextualSpacing/>
    </w:pPr>
  </w:style>
  <w:style w:type="character" w:styleId="Hyperlink">
    <w:name w:val="Hyperlink"/>
    <w:basedOn w:val="DefaultParagraphFont"/>
    <w:uiPriority w:val="99"/>
    <w:unhideWhenUsed/>
    <w:rsid w:val="001E737D"/>
    <w:rPr>
      <w:color w:val="0000FF" w:themeColor="hyperlink"/>
      <w:u w:val="single"/>
    </w:rPr>
  </w:style>
  <w:style w:type="paragraph" w:styleId="NoSpacing">
    <w:name w:val="No Spacing"/>
    <w:uiPriority w:val="1"/>
    <w:qFormat/>
    <w:rsid w:val="000632AF"/>
    <w:pPr>
      <w:spacing w:after="0" w:line="240" w:lineRule="auto"/>
    </w:pPr>
  </w:style>
  <w:style w:type="numbering" w:customStyle="1" w:styleId="Style1">
    <w:name w:val="Style1"/>
    <w:uiPriority w:val="99"/>
    <w:rsid w:val="00490E68"/>
    <w:pPr>
      <w:numPr>
        <w:numId w:val="4"/>
      </w:numPr>
    </w:pPr>
  </w:style>
  <w:style w:type="character" w:styleId="CommentReference">
    <w:name w:val="annotation reference"/>
    <w:basedOn w:val="DefaultParagraphFont"/>
    <w:uiPriority w:val="99"/>
    <w:semiHidden/>
    <w:unhideWhenUsed/>
    <w:rsid w:val="006A5B98"/>
    <w:rPr>
      <w:sz w:val="16"/>
      <w:szCs w:val="16"/>
    </w:rPr>
  </w:style>
  <w:style w:type="paragraph" w:styleId="CommentText">
    <w:name w:val="annotation text"/>
    <w:basedOn w:val="Normal"/>
    <w:link w:val="CommentTextChar"/>
    <w:uiPriority w:val="99"/>
    <w:semiHidden/>
    <w:unhideWhenUsed/>
    <w:rsid w:val="006A5B98"/>
    <w:pPr>
      <w:spacing w:line="240" w:lineRule="auto"/>
    </w:pPr>
    <w:rPr>
      <w:sz w:val="20"/>
      <w:szCs w:val="20"/>
    </w:rPr>
  </w:style>
  <w:style w:type="character" w:customStyle="1" w:styleId="CommentTextChar">
    <w:name w:val="Comment Text Char"/>
    <w:basedOn w:val="DefaultParagraphFont"/>
    <w:link w:val="CommentText"/>
    <w:uiPriority w:val="99"/>
    <w:semiHidden/>
    <w:rsid w:val="006A5B98"/>
    <w:rPr>
      <w:sz w:val="20"/>
      <w:szCs w:val="20"/>
    </w:rPr>
  </w:style>
  <w:style w:type="paragraph" w:styleId="CommentSubject">
    <w:name w:val="annotation subject"/>
    <w:basedOn w:val="CommentText"/>
    <w:next w:val="CommentText"/>
    <w:link w:val="CommentSubjectChar"/>
    <w:uiPriority w:val="99"/>
    <w:semiHidden/>
    <w:unhideWhenUsed/>
    <w:rsid w:val="006A5B98"/>
    <w:rPr>
      <w:b/>
      <w:bCs/>
    </w:rPr>
  </w:style>
  <w:style w:type="character" w:customStyle="1" w:styleId="CommentSubjectChar">
    <w:name w:val="Comment Subject Char"/>
    <w:basedOn w:val="CommentTextChar"/>
    <w:link w:val="CommentSubject"/>
    <w:uiPriority w:val="99"/>
    <w:semiHidden/>
    <w:rsid w:val="006A5B98"/>
    <w:rPr>
      <w:b/>
      <w:bCs/>
      <w:sz w:val="20"/>
      <w:szCs w:val="20"/>
    </w:rPr>
  </w:style>
  <w:style w:type="paragraph" w:styleId="Revision">
    <w:name w:val="Revision"/>
    <w:hidden/>
    <w:uiPriority w:val="99"/>
    <w:semiHidden/>
    <w:rsid w:val="009E311D"/>
    <w:pPr>
      <w:spacing w:after="0" w:line="240" w:lineRule="auto"/>
    </w:pPr>
  </w:style>
  <w:style w:type="character" w:styleId="FollowedHyperlink">
    <w:name w:val="FollowedHyperlink"/>
    <w:basedOn w:val="DefaultParagraphFont"/>
    <w:uiPriority w:val="99"/>
    <w:semiHidden/>
    <w:unhideWhenUsed/>
    <w:rsid w:val="00B70DD6"/>
    <w:rPr>
      <w:color w:val="800080" w:themeColor="followedHyperlink"/>
      <w:u w:val="single"/>
    </w:rPr>
  </w:style>
  <w:style w:type="paragraph" w:customStyle="1" w:styleId="BasicParagraph">
    <w:name w:val="[Basic Paragraph]"/>
    <w:basedOn w:val="Normal"/>
    <w:uiPriority w:val="99"/>
    <w:rsid w:val="004D177A"/>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1755">
      <w:bodyDiv w:val="1"/>
      <w:marLeft w:val="0"/>
      <w:marRight w:val="0"/>
      <w:marTop w:val="0"/>
      <w:marBottom w:val="0"/>
      <w:divBdr>
        <w:top w:val="none" w:sz="0" w:space="0" w:color="auto"/>
        <w:left w:val="none" w:sz="0" w:space="0" w:color="auto"/>
        <w:bottom w:val="none" w:sz="0" w:space="0" w:color="auto"/>
        <w:right w:val="none" w:sz="0" w:space="0" w:color="auto"/>
      </w:divBdr>
    </w:div>
    <w:div w:id="57359670">
      <w:bodyDiv w:val="1"/>
      <w:marLeft w:val="0"/>
      <w:marRight w:val="0"/>
      <w:marTop w:val="0"/>
      <w:marBottom w:val="0"/>
      <w:divBdr>
        <w:top w:val="none" w:sz="0" w:space="0" w:color="auto"/>
        <w:left w:val="none" w:sz="0" w:space="0" w:color="auto"/>
        <w:bottom w:val="none" w:sz="0" w:space="0" w:color="auto"/>
        <w:right w:val="none" w:sz="0" w:space="0" w:color="auto"/>
      </w:divBdr>
    </w:div>
    <w:div w:id="90668557">
      <w:bodyDiv w:val="1"/>
      <w:marLeft w:val="0"/>
      <w:marRight w:val="0"/>
      <w:marTop w:val="0"/>
      <w:marBottom w:val="0"/>
      <w:divBdr>
        <w:top w:val="none" w:sz="0" w:space="0" w:color="auto"/>
        <w:left w:val="none" w:sz="0" w:space="0" w:color="auto"/>
        <w:bottom w:val="none" w:sz="0" w:space="0" w:color="auto"/>
        <w:right w:val="none" w:sz="0" w:space="0" w:color="auto"/>
      </w:divBdr>
    </w:div>
    <w:div w:id="106900673">
      <w:bodyDiv w:val="1"/>
      <w:marLeft w:val="0"/>
      <w:marRight w:val="0"/>
      <w:marTop w:val="0"/>
      <w:marBottom w:val="0"/>
      <w:divBdr>
        <w:top w:val="none" w:sz="0" w:space="0" w:color="auto"/>
        <w:left w:val="none" w:sz="0" w:space="0" w:color="auto"/>
        <w:bottom w:val="none" w:sz="0" w:space="0" w:color="auto"/>
        <w:right w:val="none" w:sz="0" w:space="0" w:color="auto"/>
      </w:divBdr>
    </w:div>
    <w:div w:id="136070734">
      <w:bodyDiv w:val="1"/>
      <w:marLeft w:val="0"/>
      <w:marRight w:val="0"/>
      <w:marTop w:val="0"/>
      <w:marBottom w:val="0"/>
      <w:divBdr>
        <w:top w:val="none" w:sz="0" w:space="0" w:color="auto"/>
        <w:left w:val="none" w:sz="0" w:space="0" w:color="auto"/>
        <w:bottom w:val="none" w:sz="0" w:space="0" w:color="auto"/>
        <w:right w:val="none" w:sz="0" w:space="0" w:color="auto"/>
      </w:divBdr>
    </w:div>
    <w:div w:id="208614367">
      <w:bodyDiv w:val="1"/>
      <w:marLeft w:val="0"/>
      <w:marRight w:val="0"/>
      <w:marTop w:val="0"/>
      <w:marBottom w:val="0"/>
      <w:divBdr>
        <w:top w:val="none" w:sz="0" w:space="0" w:color="auto"/>
        <w:left w:val="none" w:sz="0" w:space="0" w:color="auto"/>
        <w:bottom w:val="none" w:sz="0" w:space="0" w:color="auto"/>
        <w:right w:val="none" w:sz="0" w:space="0" w:color="auto"/>
      </w:divBdr>
    </w:div>
    <w:div w:id="346373735">
      <w:bodyDiv w:val="1"/>
      <w:marLeft w:val="0"/>
      <w:marRight w:val="0"/>
      <w:marTop w:val="0"/>
      <w:marBottom w:val="0"/>
      <w:divBdr>
        <w:top w:val="none" w:sz="0" w:space="0" w:color="auto"/>
        <w:left w:val="none" w:sz="0" w:space="0" w:color="auto"/>
        <w:bottom w:val="none" w:sz="0" w:space="0" w:color="auto"/>
        <w:right w:val="none" w:sz="0" w:space="0" w:color="auto"/>
      </w:divBdr>
    </w:div>
    <w:div w:id="421298023">
      <w:bodyDiv w:val="1"/>
      <w:marLeft w:val="0"/>
      <w:marRight w:val="0"/>
      <w:marTop w:val="0"/>
      <w:marBottom w:val="0"/>
      <w:divBdr>
        <w:top w:val="none" w:sz="0" w:space="0" w:color="auto"/>
        <w:left w:val="none" w:sz="0" w:space="0" w:color="auto"/>
        <w:bottom w:val="none" w:sz="0" w:space="0" w:color="auto"/>
        <w:right w:val="none" w:sz="0" w:space="0" w:color="auto"/>
      </w:divBdr>
    </w:div>
    <w:div w:id="478574258">
      <w:bodyDiv w:val="1"/>
      <w:marLeft w:val="0"/>
      <w:marRight w:val="0"/>
      <w:marTop w:val="0"/>
      <w:marBottom w:val="0"/>
      <w:divBdr>
        <w:top w:val="none" w:sz="0" w:space="0" w:color="auto"/>
        <w:left w:val="none" w:sz="0" w:space="0" w:color="auto"/>
        <w:bottom w:val="none" w:sz="0" w:space="0" w:color="auto"/>
        <w:right w:val="none" w:sz="0" w:space="0" w:color="auto"/>
      </w:divBdr>
    </w:div>
    <w:div w:id="507184283">
      <w:bodyDiv w:val="1"/>
      <w:marLeft w:val="0"/>
      <w:marRight w:val="0"/>
      <w:marTop w:val="0"/>
      <w:marBottom w:val="0"/>
      <w:divBdr>
        <w:top w:val="none" w:sz="0" w:space="0" w:color="auto"/>
        <w:left w:val="none" w:sz="0" w:space="0" w:color="auto"/>
        <w:bottom w:val="none" w:sz="0" w:space="0" w:color="auto"/>
        <w:right w:val="none" w:sz="0" w:space="0" w:color="auto"/>
      </w:divBdr>
    </w:div>
    <w:div w:id="564998837">
      <w:bodyDiv w:val="1"/>
      <w:marLeft w:val="0"/>
      <w:marRight w:val="0"/>
      <w:marTop w:val="0"/>
      <w:marBottom w:val="0"/>
      <w:divBdr>
        <w:top w:val="none" w:sz="0" w:space="0" w:color="auto"/>
        <w:left w:val="none" w:sz="0" w:space="0" w:color="auto"/>
        <w:bottom w:val="none" w:sz="0" w:space="0" w:color="auto"/>
        <w:right w:val="none" w:sz="0" w:space="0" w:color="auto"/>
      </w:divBdr>
    </w:div>
    <w:div w:id="710688581">
      <w:bodyDiv w:val="1"/>
      <w:marLeft w:val="0"/>
      <w:marRight w:val="0"/>
      <w:marTop w:val="0"/>
      <w:marBottom w:val="0"/>
      <w:divBdr>
        <w:top w:val="none" w:sz="0" w:space="0" w:color="auto"/>
        <w:left w:val="none" w:sz="0" w:space="0" w:color="auto"/>
        <w:bottom w:val="none" w:sz="0" w:space="0" w:color="auto"/>
        <w:right w:val="none" w:sz="0" w:space="0" w:color="auto"/>
      </w:divBdr>
    </w:div>
    <w:div w:id="716441860">
      <w:bodyDiv w:val="1"/>
      <w:marLeft w:val="0"/>
      <w:marRight w:val="0"/>
      <w:marTop w:val="0"/>
      <w:marBottom w:val="0"/>
      <w:divBdr>
        <w:top w:val="none" w:sz="0" w:space="0" w:color="auto"/>
        <w:left w:val="none" w:sz="0" w:space="0" w:color="auto"/>
        <w:bottom w:val="none" w:sz="0" w:space="0" w:color="auto"/>
        <w:right w:val="none" w:sz="0" w:space="0" w:color="auto"/>
      </w:divBdr>
    </w:div>
    <w:div w:id="722100245">
      <w:bodyDiv w:val="1"/>
      <w:marLeft w:val="0"/>
      <w:marRight w:val="0"/>
      <w:marTop w:val="0"/>
      <w:marBottom w:val="0"/>
      <w:divBdr>
        <w:top w:val="none" w:sz="0" w:space="0" w:color="auto"/>
        <w:left w:val="none" w:sz="0" w:space="0" w:color="auto"/>
        <w:bottom w:val="none" w:sz="0" w:space="0" w:color="auto"/>
        <w:right w:val="none" w:sz="0" w:space="0" w:color="auto"/>
      </w:divBdr>
      <w:divsChild>
        <w:div w:id="275531111">
          <w:marLeft w:val="0"/>
          <w:marRight w:val="0"/>
          <w:marTop w:val="0"/>
          <w:marBottom w:val="0"/>
          <w:divBdr>
            <w:top w:val="none" w:sz="0" w:space="0" w:color="auto"/>
            <w:left w:val="none" w:sz="0" w:space="0" w:color="auto"/>
            <w:bottom w:val="none" w:sz="0" w:space="0" w:color="auto"/>
            <w:right w:val="none" w:sz="0" w:space="0" w:color="auto"/>
          </w:divBdr>
          <w:divsChild>
            <w:div w:id="1839074288">
              <w:marLeft w:val="0"/>
              <w:marRight w:val="0"/>
              <w:marTop w:val="0"/>
              <w:marBottom w:val="0"/>
              <w:divBdr>
                <w:top w:val="none" w:sz="0" w:space="0" w:color="auto"/>
                <w:left w:val="none" w:sz="0" w:space="0" w:color="auto"/>
                <w:bottom w:val="none" w:sz="0" w:space="0" w:color="auto"/>
                <w:right w:val="none" w:sz="0" w:space="0" w:color="auto"/>
              </w:divBdr>
              <w:divsChild>
                <w:div w:id="1783573470">
                  <w:marLeft w:val="0"/>
                  <w:marRight w:val="0"/>
                  <w:marTop w:val="0"/>
                  <w:marBottom w:val="0"/>
                  <w:divBdr>
                    <w:top w:val="none" w:sz="0" w:space="0" w:color="auto"/>
                    <w:left w:val="none" w:sz="0" w:space="0" w:color="auto"/>
                    <w:bottom w:val="none" w:sz="0" w:space="0" w:color="auto"/>
                    <w:right w:val="none" w:sz="0" w:space="0" w:color="auto"/>
                  </w:divBdr>
                  <w:divsChild>
                    <w:div w:id="93521032">
                      <w:marLeft w:val="0"/>
                      <w:marRight w:val="0"/>
                      <w:marTop w:val="0"/>
                      <w:marBottom w:val="0"/>
                      <w:divBdr>
                        <w:top w:val="none" w:sz="0" w:space="0" w:color="auto"/>
                        <w:left w:val="none" w:sz="0" w:space="0" w:color="auto"/>
                        <w:bottom w:val="none" w:sz="0" w:space="0" w:color="auto"/>
                        <w:right w:val="none" w:sz="0" w:space="0" w:color="auto"/>
                      </w:divBdr>
                      <w:divsChild>
                        <w:div w:id="411588444">
                          <w:marLeft w:val="0"/>
                          <w:marRight w:val="0"/>
                          <w:marTop w:val="0"/>
                          <w:marBottom w:val="0"/>
                          <w:divBdr>
                            <w:top w:val="none" w:sz="0" w:space="0" w:color="auto"/>
                            <w:left w:val="none" w:sz="0" w:space="0" w:color="auto"/>
                            <w:bottom w:val="none" w:sz="0" w:space="0" w:color="auto"/>
                            <w:right w:val="none" w:sz="0" w:space="0" w:color="auto"/>
                          </w:divBdr>
                          <w:divsChild>
                            <w:div w:id="1390610223">
                              <w:marLeft w:val="15"/>
                              <w:marRight w:val="195"/>
                              <w:marTop w:val="0"/>
                              <w:marBottom w:val="0"/>
                              <w:divBdr>
                                <w:top w:val="none" w:sz="0" w:space="0" w:color="auto"/>
                                <w:left w:val="none" w:sz="0" w:space="0" w:color="auto"/>
                                <w:bottom w:val="none" w:sz="0" w:space="0" w:color="auto"/>
                                <w:right w:val="none" w:sz="0" w:space="0" w:color="auto"/>
                              </w:divBdr>
                              <w:divsChild>
                                <w:div w:id="1570383800">
                                  <w:marLeft w:val="0"/>
                                  <w:marRight w:val="0"/>
                                  <w:marTop w:val="0"/>
                                  <w:marBottom w:val="0"/>
                                  <w:divBdr>
                                    <w:top w:val="none" w:sz="0" w:space="0" w:color="auto"/>
                                    <w:left w:val="none" w:sz="0" w:space="0" w:color="auto"/>
                                    <w:bottom w:val="none" w:sz="0" w:space="0" w:color="auto"/>
                                    <w:right w:val="none" w:sz="0" w:space="0" w:color="auto"/>
                                  </w:divBdr>
                                  <w:divsChild>
                                    <w:div w:id="467479547">
                                      <w:marLeft w:val="0"/>
                                      <w:marRight w:val="0"/>
                                      <w:marTop w:val="0"/>
                                      <w:marBottom w:val="0"/>
                                      <w:divBdr>
                                        <w:top w:val="none" w:sz="0" w:space="0" w:color="auto"/>
                                        <w:left w:val="none" w:sz="0" w:space="0" w:color="auto"/>
                                        <w:bottom w:val="none" w:sz="0" w:space="0" w:color="auto"/>
                                        <w:right w:val="none" w:sz="0" w:space="0" w:color="auto"/>
                                      </w:divBdr>
                                      <w:divsChild>
                                        <w:div w:id="1420057357">
                                          <w:marLeft w:val="0"/>
                                          <w:marRight w:val="0"/>
                                          <w:marTop w:val="0"/>
                                          <w:marBottom w:val="0"/>
                                          <w:divBdr>
                                            <w:top w:val="none" w:sz="0" w:space="0" w:color="auto"/>
                                            <w:left w:val="none" w:sz="0" w:space="0" w:color="auto"/>
                                            <w:bottom w:val="none" w:sz="0" w:space="0" w:color="auto"/>
                                            <w:right w:val="none" w:sz="0" w:space="0" w:color="auto"/>
                                          </w:divBdr>
                                          <w:divsChild>
                                            <w:div w:id="1329212211">
                                              <w:marLeft w:val="0"/>
                                              <w:marRight w:val="0"/>
                                              <w:marTop w:val="0"/>
                                              <w:marBottom w:val="0"/>
                                              <w:divBdr>
                                                <w:top w:val="none" w:sz="0" w:space="0" w:color="auto"/>
                                                <w:left w:val="none" w:sz="0" w:space="0" w:color="auto"/>
                                                <w:bottom w:val="none" w:sz="0" w:space="0" w:color="auto"/>
                                                <w:right w:val="none" w:sz="0" w:space="0" w:color="auto"/>
                                              </w:divBdr>
                                              <w:divsChild>
                                                <w:div w:id="1961572234">
                                                  <w:marLeft w:val="0"/>
                                                  <w:marRight w:val="0"/>
                                                  <w:marTop w:val="0"/>
                                                  <w:marBottom w:val="0"/>
                                                  <w:divBdr>
                                                    <w:top w:val="none" w:sz="0" w:space="0" w:color="auto"/>
                                                    <w:left w:val="none" w:sz="0" w:space="0" w:color="auto"/>
                                                    <w:bottom w:val="none" w:sz="0" w:space="0" w:color="auto"/>
                                                    <w:right w:val="none" w:sz="0" w:space="0" w:color="auto"/>
                                                  </w:divBdr>
                                                  <w:divsChild>
                                                    <w:div w:id="1710375787">
                                                      <w:marLeft w:val="0"/>
                                                      <w:marRight w:val="0"/>
                                                      <w:marTop w:val="0"/>
                                                      <w:marBottom w:val="0"/>
                                                      <w:divBdr>
                                                        <w:top w:val="none" w:sz="0" w:space="0" w:color="auto"/>
                                                        <w:left w:val="none" w:sz="0" w:space="0" w:color="auto"/>
                                                        <w:bottom w:val="none" w:sz="0" w:space="0" w:color="auto"/>
                                                        <w:right w:val="none" w:sz="0" w:space="0" w:color="auto"/>
                                                      </w:divBdr>
                                                      <w:divsChild>
                                                        <w:div w:id="793056273">
                                                          <w:marLeft w:val="0"/>
                                                          <w:marRight w:val="0"/>
                                                          <w:marTop w:val="0"/>
                                                          <w:marBottom w:val="0"/>
                                                          <w:divBdr>
                                                            <w:top w:val="none" w:sz="0" w:space="0" w:color="auto"/>
                                                            <w:left w:val="none" w:sz="0" w:space="0" w:color="auto"/>
                                                            <w:bottom w:val="none" w:sz="0" w:space="0" w:color="auto"/>
                                                            <w:right w:val="none" w:sz="0" w:space="0" w:color="auto"/>
                                                          </w:divBdr>
                                                          <w:divsChild>
                                                            <w:div w:id="1204950866">
                                                              <w:marLeft w:val="0"/>
                                                              <w:marRight w:val="0"/>
                                                              <w:marTop w:val="0"/>
                                                              <w:marBottom w:val="0"/>
                                                              <w:divBdr>
                                                                <w:top w:val="none" w:sz="0" w:space="0" w:color="auto"/>
                                                                <w:left w:val="none" w:sz="0" w:space="0" w:color="auto"/>
                                                                <w:bottom w:val="none" w:sz="0" w:space="0" w:color="auto"/>
                                                                <w:right w:val="none" w:sz="0" w:space="0" w:color="auto"/>
                                                              </w:divBdr>
                                                              <w:divsChild>
                                                                <w:div w:id="2066487346">
                                                                  <w:marLeft w:val="0"/>
                                                                  <w:marRight w:val="0"/>
                                                                  <w:marTop w:val="0"/>
                                                                  <w:marBottom w:val="0"/>
                                                                  <w:divBdr>
                                                                    <w:top w:val="none" w:sz="0" w:space="0" w:color="auto"/>
                                                                    <w:left w:val="none" w:sz="0" w:space="0" w:color="auto"/>
                                                                    <w:bottom w:val="none" w:sz="0" w:space="0" w:color="auto"/>
                                                                    <w:right w:val="none" w:sz="0" w:space="0" w:color="auto"/>
                                                                  </w:divBdr>
                                                                  <w:divsChild>
                                                                    <w:div w:id="1418479157">
                                                                      <w:marLeft w:val="405"/>
                                                                      <w:marRight w:val="0"/>
                                                                      <w:marTop w:val="0"/>
                                                                      <w:marBottom w:val="0"/>
                                                                      <w:divBdr>
                                                                        <w:top w:val="none" w:sz="0" w:space="0" w:color="auto"/>
                                                                        <w:left w:val="none" w:sz="0" w:space="0" w:color="auto"/>
                                                                        <w:bottom w:val="none" w:sz="0" w:space="0" w:color="auto"/>
                                                                        <w:right w:val="none" w:sz="0" w:space="0" w:color="auto"/>
                                                                      </w:divBdr>
                                                                      <w:divsChild>
                                                                        <w:div w:id="179049656">
                                                                          <w:marLeft w:val="0"/>
                                                                          <w:marRight w:val="0"/>
                                                                          <w:marTop w:val="0"/>
                                                                          <w:marBottom w:val="0"/>
                                                                          <w:divBdr>
                                                                            <w:top w:val="none" w:sz="0" w:space="0" w:color="auto"/>
                                                                            <w:left w:val="none" w:sz="0" w:space="0" w:color="auto"/>
                                                                            <w:bottom w:val="none" w:sz="0" w:space="0" w:color="auto"/>
                                                                            <w:right w:val="none" w:sz="0" w:space="0" w:color="auto"/>
                                                                          </w:divBdr>
                                                                          <w:divsChild>
                                                                            <w:div w:id="2011829770">
                                                                              <w:marLeft w:val="0"/>
                                                                              <w:marRight w:val="0"/>
                                                                              <w:marTop w:val="0"/>
                                                                              <w:marBottom w:val="0"/>
                                                                              <w:divBdr>
                                                                                <w:top w:val="none" w:sz="0" w:space="0" w:color="auto"/>
                                                                                <w:left w:val="none" w:sz="0" w:space="0" w:color="auto"/>
                                                                                <w:bottom w:val="none" w:sz="0" w:space="0" w:color="auto"/>
                                                                                <w:right w:val="none" w:sz="0" w:space="0" w:color="auto"/>
                                                                              </w:divBdr>
                                                                              <w:divsChild>
                                                                                <w:div w:id="355009573">
                                                                                  <w:marLeft w:val="0"/>
                                                                                  <w:marRight w:val="0"/>
                                                                                  <w:marTop w:val="0"/>
                                                                                  <w:marBottom w:val="0"/>
                                                                                  <w:divBdr>
                                                                                    <w:top w:val="none" w:sz="0" w:space="0" w:color="auto"/>
                                                                                    <w:left w:val="none" w:sz="0" w:space="0" w:color="auto"/>
                                                                                    <w:bottom w:val="none" w:sz="0" w:space="0" w:color="auto"/>
                                                                                    <w:right w:val="none" w:sz="0" w:space="0" w:color="auto"/>
                                                                                  </w:divBdr>
                                                                                  <w:divsChild>
                                                                                    <w:div w:id="1052539596">
                                                                                      <w:marLeft w:val="0"/>
                                                                                      <w:marRight w:val="0"/>
                                                                                      <w:marTop w:val="0"/>
                                                                                      <w:marBottom w:val="0"/>
                                                                                      <w:divBdr>
                                                                                        <w:top w:val="none" w:sz="0" w:space="0" w:color="auto"/>
                                                                                        <w:left w:val="none" w:sz="0" w:space="0" w:color="auto"/>
                                                                                        <w:bottom w:val="none" w:sz="0" w:space="0" w:color="auto"/>
                                                                                        <w:right w:val="none" w:sz="0" w:space="0" w:color="auto"/>
                                                                                      </w:divBdr>
                                                                                      <w:divsChild>
                                                                                        <w:div w:id="729421921">
                                                                                          <w:marLeft w:val="0"/>
                                                                                          <w:marRight w:val="0"/>
                                                                                          <w:marTop w:val="0"/>
                                                                                          <w:marBottom w:val="0"/>
                                                                                          <w:divBdr>
                                                                                            <w:top w:val="none" w:sz="0" w:space="0" w:color="auto"/>
                                                                                            <w:left w:val="none" w:sz="0" w:space="0" w:color="auto"/>
                                                                                            <w:bottom w:val="none" w:sz="0" w:space="0" w:color="auto"/>
                                                                                            <w:right w:val="none" w:sz="0" w:space="0" w:color="auto"/>
                                                                                          </w:divBdr>
                                                                                          <w:divsChild>
                                                                                            <w:div w:id="287930344">
                                                                                              <w:marLeft w:val="0"/>
                                                                                              <w:marRight w:val="0"/>
                                                                                              <w:marTop w:val="0"/>
                                                                                              <w:marBottom w:val="0"/>
                                                                                              <w:divBdr>
                                                                                                <w:top w:val="none" w:sz="0" w:space="0" w:color="auto"/>
                                                                                                <w:left w:val="none" w:sz="0" w:space="0" w:color="auto"/>
                                                                                                <w:bottom w:val="none" w:sz="0" w:space="0" w:color="auto"/>
                                                                                                <w:right w:val="none" w:sz="0" w:space="0" w:color="auto"/>
                                                                                              </w:divBdr>
                                                                                              <w:divsChild>
                                                                                                <w:div w:id="1232814182">
                                                                                                  <w:marLeft w:val="0"/>
                                                                                                  <w:marRight w:val="0"/>
                                                                                                  <w:marTop w:val="0"/>
                                                                                                  <w:marBottom w:val="0"/>
                                                                                                  <w:divBdr>
                                                                                                    <w:top w:val="none" w:sz="0" w:space="0" w:color="auto"/>
                                                                                                    <w:left w:val="single" w:sz="12" w:space="8" w:color="auto"/>
                                                                                                    <w:bottom w:val="none" w:sz="0" w:space="0" w:color="auto"/>
                                                                                                    <w:right w:val="none" w:sz="0" w:space="0" w:color="auto"/>
                                                                                                  </w:divBdr>
                                                                                                  <w:divsChild>
                                                                                                    <w:div w:id="1649239176">
                                                                                                      <w:marLeft w:val="0"/>
                                                                                                      <w:marRight w:val="0"/>
                                                                                                      <w:marTop w:val="0"/>
                                                                                                      <w:marBottom w:val="0"/>
                                                                                                      <w:divBdr>
                                                                                                        <w:top w:val="none" w:sz="0" w:space="0" w:color="auto"/>
                                                                                                        <w:left w:val="none" w:sz="0" w:space="0" w:color="auto"/>
                                                                                                        <w:bottom w:val="none" w:sz="0" w:space="0" w:color="auto"/>
                                                                                                        <w:right w:val="none" w:sz="0" w:space="0" w:color="auto"/>
                                                                                                      </w:divBdr>
                                                                                                      <w:divsChild>
                                                                                                        <w:div w:id="1642610828">
                                                                                                          <w:marLeft w:val="0"/>
                                                                                                          <w:marRight w:val="0"/>
                                                                                                          <w:marTop w:val="0"/>
                                                                                                          <w:marBottom w:val="0"/>
                                                                                                          <w:divBdr>
                                                                                                            <w:top w:val="none" w:sz="0" w:space="0" w:color="auto"/>
                                                                                                            <w:left w:val="none" w:sz="0" w:space="0" w:color="auto"/>
                                                                                                            <w:bottom w:val="none" w:sz="0" w:space="0" w:color="auto"/>
                                                                                                            <w:right w:val="none" w:sz="0" w:space="0" w:color="auto"/>
                                                                                                          </w:divBdr>
                                                                                                          <w:divsChild>
                                                                                                            <w:div w:id="2121291271">
                                                                                                              <w:marLeft w:val="0"/>
                                                                                                              <w:marRight w:val="0"/>
                                                                                                              <w:marTop w:val="0"/>
                                                                                                              <w:marBottom w:val="0"/>
                                                                                                              <w:divBdr>
                                                                                                                <w:top w:val="none" w:sz="0" w:space="0" w:color="auto"/>
                                                                                                                <w:left w:val="none" w:sz="0" w:space="0" w:color="auto"/>
                                                                                                                <w:bottom w:val="none" w:sz="0" w:space="0" w:color="auto"/>
                                                                                                                <w:right w:val="none" w:sz="0" w:space="0" w:color="auto"/>
                                                                                                              </w:divBdr>
                                                                                                              <w:divsChild>
                                                                                                                <w:div w:id="1616521455">
                                                                                                                  <w:marLeft w:val="0"/>
                                                                                                                  <w:marRight w:val="0"/>
                                                                                                                  <w:marTop w:val="0"/>
                                                                                                                  <w:marBottom w:val="0"/>
                                                                                                                  <w:divBdr>
                                                                                                                    <w:top w:val="none" w:sz="0" w:space="0" w:color="auto"/>
                                                                                                                    <w:left w:val="none" w:sz="0" w:space="0" w:color="auto"/>
                                                                                                                    <w:bottom w:val="none" w:sz="0" w:space="0" w:color="auto"/>
                                                                                                                    <w:right w:val="none" w:sz="0" w:space="0" w:color="auto"/>
                                                                                                                  </w:divBdr>
                                                                                                                  <w:divsChild>
                                                                                                                    <w:div w:id="1822454620">
                                                                                                                      <w:marLeft w:val="0"/>
                                                                                                                      <w:marRight w:val="0"/>
                                                                                                                      <w:marTop w:val="0"/>
                                                                                                                      <w:marBottom w:val="0"/>
                                                                                                                      <w:divBdr>
                                                                                                                        <w:top w:val="none" w:sz="0" w:space="0" w:color="auto"/>
                                                                                                                        <w:left w:val="none" w:sz="0" w:space="0" w:color="auto"/>
                                                                                                                        <w:bottom w:val="none" w:sz="0" w:space="0" w:color="auto"/>
                                                                                                                        <w:right w:val="none" w:sz="0" w:space="0" w:color="auto"/>
                                                                                                                      </w:divBdr>
                                                                                                                    </w:div>
                                                                                                                    <w:div w:id="868880349">
                                                                                                                      <w:marLeft w:val="0"/>
                                                                                                                      <w:marRight w:val="0"/>
                                                                                                                      <w:marTop w:val="0"/>
                                                                                                                      <w:marBottom w:val="0"/>
                                                                                                                      <w:divBdr>
                                                                                                                        <w:top w:val="none" w:sz="0" w:space="0" w:color="auto"/>
                                                                                                                        <w:left w:val="none" w:sz="0" w:space="0" w:color="auto"/>
                                                                                                                        <w:bottom w:val="none" w:sz="0" w:space="0" w:color="auto"/>
                                                                                                                        <w:right w:val="none" w:sz="0" w:space="0" w:color="auto"/>
                                                                                                                      </w:divBdr>
                                                                                                                    </w:div>
                                                                                                                    <w:div w:id="518667969">
                                                                                                                      <w:marLeft w:val="0"/>
                                                                                                                      <w:marRight w:val="0"/>
                                                                                                                      <w:marTop w:val="0"/>
                                                                                                                      <w:marBottom w:val="0"/>
                                                                                                                      <w:divBdr>
                                                                                                                        <w:top w:val="none" w:sz="0" w:space="0" w:color="auto"/>
                                                                                                                        <w:left w:val="none" w:sz="0" w:space="0" w:color="auto"/>
                                                                                                                        <w:bottom w:val="none" w:sz="0" w:space="0" w:color="auto"/>
                                                                                                                        <w:right w:val="none" w:sz="0" w:space="0" w:color="auto"/>
                                                                                                                      </w:divBdr>
                                                                                                                    </w:div>
                                                                                                                    <w:div w:id="57948433">
                                                                                                                      <w:marLeft w:val="0"/>
                                                                                                                      <w:marRight w:val="0"/>
                                                                                                                      <w:marTop w:val="0"/>
                                                                                                                      <w:marBottom w:val="0"/>
                                                                                                                      <w:divBdr>
                                                                                                                        <w:top w:val="none" w:sz="0" w:space="0" w:color="auto"/>
                                                                                                                        <w:left w:val="none" w:sz="0" w:space="0" w:color="auto"/>
                                                                                                                        <w:bottom w:val="none" w:sz="0" w:space="0" w:color="auto"/>
                                                                                                                        <w:right w:val="none" w:sz="0" w:space="0" w:color="auto"/>
                                                                                                                      </w:divBdr>
                                                                                                                    </w:div>
                                                                                                                    <w:div w:id="1645816797">
                                                                                                                      <w:marLeft w:val="0"/>
                                                                                                                      <w:marRight w:val="0"/>
                                                                                                                      <w:marTop w:val="0"/>
                                                                                                                      <w:marBottom w:val="0"/>
                                                                                                                      <w:divBdr>
                                                                                                                        <w:top w:val="none" w:sz="0" w:space="0" w:color="auto"/>
                                                                                                                        <w:left w:val="none" w:sz="0" w:space="0" w:color="auto"/>
                                                                                                                        <w:bottom w:val="none" w:sz="0" w:space="0" w:color="auto"/>
                                                                                                                        <w:right w:val="none" w:sz="0" w:space="0" w:color="auto"/>
                                                                                                                      </w:divBdr>
                                                                                                                    </w:div>
                                                                                                                    <w:div w:id="1520312380">
                                                                                                                      <w:marLeft w:val="0"/>
                                                                                                                      <w:marRight w:val="0"/>
                                                                                                                      <w:marTop w:val="0"/>
                                                                                                                      <w:marBottom w:val="0"/>
                                                                                                                      <w:divBdr>
                                                                                                                        <w:top w:val="none" w:sz="0" w:space="0" w:color="auto"/>
                                                                                                                        <w:left w:val="none" w:sz="0" w:space="0" w:color="auto"/>
                                                                                                                        <w:bottom w:val="none" w:sz="0" w:space="0" w:color="auto"/>
                                                                                                                        <w:right w:val="none" w:sz="0" w:space="0" w:color="auto"/>
                                                                                                                      </w:divBdr>
                                                                                                                    </w:div>
                                                                                                                    <w:div w:id="829322015">
                                                                                                                      <w:marLeft w:val="0"/>
                                                                                                                      <w:marRight w:val="0"/>
                                                                                                                      <w:marTop w:val="0"/>
                                                                                                                      <w:marBottom w:val="0"/>
                                                                                                                      <w:divBdr>
                                                                                                                        <w:top w:val="none" w:sz="0" w:space="0" w:color="auto"/>
                                                                                                                        <w:left w:val="none" w:sz="0" w:space="0" w:color="auto"/>
                                                                                                                        <w:bottom w:val="none" w:sz="0" w:space="0" w:color="auto"/>
                                                                                                                        <w:right w:val="none" w:sz="0" w:space="0" w:color="auto"/>
                                                                                                                      </w:divBdr>
                                                                                                                    </w:div>
                                                                                                                    <w:div w:id="266279122">
                                                                                                                      <w:marLeft w:val="0"/>
                                                                                                                      <w:marRight w:val="0"/>
                                                                                                                      <w:marTop w:val="0"/>
                                                                                                                      <w:marBottom w:val="0"/>
                                                                                                                      <w:divBdr>
                                                                                                                        <w:top w:val="none" w:sz="0" w:space="0" w:color="auto"/>
                                                                                                                        <w:left w:val="none" w:sz="0" w:space="0" w:color="auto"/>
                                                                                                                        <w:bottom w:val="none" w:sz="0" w:space="0" w:color="auto"/>
                                                                                                                        <w:right w:val="none" w:sz="0" w:space="0" w:color="auto"/>
                                                                                                                      </w:divBdr>
                                                                                                                    </w:div>
                                                                                                                    <w:div w:id="1201744516">
                                                                                                                      <w:marLeft w:val="0"/>
                                                                                                                      <w:marRight w:val="0"/>
                                                                                                                      <w:marTop w:val="0"/>
                                                                                                                      <w:marBottom w:val="0"/>
                                                                                                                      <w:divBdr>
                                                                                                                        <w:top w:val="none" w:sz="0" w:space="0" w:color="auto"/>
                                                                                                                        <w:left w:val="none" w:sz="0" w:space="0" w:color="auto"/>
                                                                                                                        <w:bottom w:val="none" w:sz="0" w:space="0" w:color="auto"/>
                                                                                                                        <w:right w:val="none" w:sz="0" w:space="0" w:color="auto"/>
                                                                                                                      </w:divBdr>
                                                                                                                    </w:div>
                                                                                                                    <w:div w:id="50162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5165511">
      <w:bodyDiv w:val="1"/>
      <w:marLeft w:val="0"/>
      <w:marRight w:val="0"/>
      <w:marTop w:val="0"/>
      <w:marBottom w:val="0"/>
      <w:divBdr>
        <w:top w:val="none" w:sz="0" w:space="0" w:color="auto"/>
        <w:left w:val="none" w:sz="0" w:space="0" w:color="auto"/>
        <w:bottom w:val="none" w:sz="0" w:space="0" w:color="auto"/>
        <w:right w:val="none" w:sz="0" w:space="0" w:color="auto"/>
      </w:divBdr>
    </w:div>
    <w:div w:id="1145470826">
      <w:bodyDiv w:val="1"/>
      <w:marLeft w:val="0"/>
      <w:marRight w:val="0"/>
      <w:marTop w:val="0"/>
      <w:marBottom w:val="0"/>
      <w:divBdr>
        <w:top w:val="none" w:sz="0" w:space="0" w:color="auto"/>
        <w:left w:val="none" w:sz="0" w:space="0" w:color="auto"/>
        <w:bottom w:val="none" w:sz="0" w:space="0" w:color="auto"/>
        <w:right w:val="none" w:sz="0" w:space="0" w:color="auto"/>
      </w:divBdr>
    </w:div>
    <w:div w:id="1169758581">
      <w:bodyDiv w:val="1"/>
      <w:marLeft w:val="0"/>
      <w:marRight w:val="0"/>
      <w:marTop w:val="0"/>
      <w:marBottom w:val="0"/>
      <w:divBdr>
        <w:top w:val="none" w:sz="0" w:space="0" w:color="auto"/>
        <w:left w:val="none" w:sz="0" w:space="0" w:color="auto"/>
        <w:bottom w:val="none" w:sz="0" w:space="0" w:color="auto"/>
        <w:right w:val="none" w:sz="0" w:space="0" w:color="auto"/>
      </w:divBdr>
    </w:div>
    <w:div w:id="1195849110">
      <w:bodyDiv w:val="1"/>
      <w:marLeft w:val="0"/>
      <w:marRight w:val="0"/>
      <w:marTop w:val="0"/>
      <w:marBottom w:val="0"/>
      <w:divBdr>
        <w:top w:val="none" w:sz="0" w:space="0" w:color="auto"/>
        <w:left w:val="none" w:sz="0" w:space="0" w:color="auto"/>
        <w:bottom w:val="none" w:sz="0" w:space="0" w:color="auto"/>
        <w:right w:val="none" w:sz="0" w:space="0" w:color="auto"/>
      </w:divBdr>
    </w:div>
    <w:div w:id="1236359109">
      <w:bodyDiv w:val="1"/>
      <w:marLeft w:val="0"/>
      <w:marRight w:val="0"/>
      <w:marTop w:val="0"/>
      <w:marBottom w:val="0"/>
      <w:divBdr>
        <w:top w:val="none" w:sz="0" w:space="0" w:color="auto"/>
        <w:left w:val="none" w:sz="0" w:space="0" w:color="auto"/>
        <w:bottom w:val="none" w:sz="0" w:space="0" w:color="auto"/>
        <w:right w:val="none" w:sz="0" w:space="0" w:color="auto"/>
      </w:divBdr>
      <w:divsChild>
        <w:div w:id="1277983918">
          <w:marLeft w:val="0"/>
          <w:marRight w:val="0"/>
          <w:marTop w:val="0"/>
          <w:marBottom w:val="0"/>
          <w:divBdr>
            <w:top w:val="none" w:sz="0" w:space="0" w:color="auto"/>
            <w:left w:val="none" w:sz="0" w:space="0" w:color="auto"/>
            <w:bottom w:val="none" w:sz="0" w:space="0" w:color="auto"/>
            <w:right w:val="none" w:sz="0" w:space="0" w:color="auto"/>
          </w:divBdr>
          <w:divsChild>
            <w:div w:id="1507018559">
              <w:marLeft w:val="0"/>
              <w:marRight w:val="0"/>
              <w:marTop w:val="0"/>
              <w:marBottom w:val="0"/>
              <w:divBdr>
                <w:top w:val="none" w:sz="0" w:space="0" w:color="auto"/>
                <w:left w:val="none" w:sz="0" w:space="0" w:color="auto"/>
                <w:bottom w:val="none" w:sz="0" w:space="0" w:color="auto"/>
                <w:right w:val="none" w:sz="0" w:space="0" w:color="auto"/>
              </w:divBdr>
              <w:divsChild>
                <w:div w:id="458106581">
                  <w:marLeft w:val="0"/>
                  <w:marRight w:val="0"/>
                  <w:marTop w:val="0"/>
                  <w:marBottom w:val="0"/>
                  <w:divBdr>
                    <w:top w:val="none" w:sz="0" w:space="0" w:color="auto"/>
                    <w:left w:val="none" w:sz="0" w:space="0" w:color="auto"/>
                    <w:bottom w:val="none" w:sz="0" w:space="0" w:color="auto"/>
                    <w:right w:val="none" w:sz="0" w:space="0" w:color="auto"/>
                  </w:divBdr>
                  <w:divsChild>
                    <w:div w:id="2038965918">
                      <w:marLeft w:val="0"/>
                      <w:marRight w:val="0"/>
                      <w:marTop w:val="0"/>
                      <w:marBottom w:val="0"/>
                      <w:divBdr>
                        <w:top w:val="none" w:sz="0" w:space="0" w:color="auto"/>
                        <w:left w:val="none" w:sz="0" w:space="0" w:color="auto"/>
                        <w:bottom w:val="none" w:sz="0" w:space="0" w:color="auto"/>
                        <w:right w:val="none" w:sz="0" w:space="0" w:color="auto"/>
                      </w:divBdr>
                      <w:divsChild>
                        <w:div w:id="396131790">
                          <w:marLeft w:val="0"/>
                          <w:marRight w:val="0"/>
                          <w:marTop w:val="0"/>
                          <w:marBottom w:val="0"/>
                          <w:divBdr>
                            <w:top w:val="none" w:sz="0" w:space="0" w:color="auto"/>
                            <w:left w:val="none" w:sz="0" w:space="0" w:color="auto"/>
                            <w:bottom w:val="none" w:sz="0" w:space="0" w:color="auto"/>
                            <w:right w:val="none" w:sz="0" w:space="0" w:color="auto"/>
                          </w:divBdr>
                          <w:divsChild>
                            <w:div w:id="995765201">
                              <w:marLeft w:val="15"/>
                              <w:marRight w:val="195"/>
                              <w:marTop w:val="0"/>
                              <w:marBottom w:val="0"/>
                              <w:divBdr>
                                <w:top w:val="none" w:sz="0" w:space="0" w:color="auto"/>
                                <w:left w:val="none" w:sz="0" w:space="0" w:color="auto"/>
                                <w:bottom w:val="none" w:sz="0" w:space="0" w:color="auto"/>
                                <w:right w:val="none" w:sz="0" w:space="0" w:color="auto"/>
                              </w:divBdr>
                              <w:divsChild>
                                <w:div w:id="44373285">
                                  <w:marLeft w:val="0"/>
                                  <w:marRight w:val="0"/>
                                  <w:marTop w:val="0"/>
                                  <w:marBottom w:val="0"/>
                                  <w:divBdr>
                                    <w:top w:val="none" w:sz="0" w:space="0" w:color="auto"/>
                                    <w:left w:val="none" w:sz="0" w:space="0" w:color="auto"/>
                                    <w:bottom w:val="none" w:sz="0" w:space="0" w:color="auto"/>
                                    <w:right w:val="none" w:sz="0" w:space="0" w:color="auto"/>
                                  </w:divBdr>
                                  <w:divsChild>
                                    <w:div w:id="1154444219">
                                      <w:marLeft w:val="0"/>
                                      <w:marRight w:val="0"/>
                                      <w:marTop w:val="0"/>
                                      <w:marBottom w:val="0"/>
                                      <w:divBdr>
                                        <w:top w:val="none" w:sz="0" w:space="0" w:color="auto"/>
                                        <w:left w:val="none" w:sz="0" w:space="0" w:color="auto"/>
                                        <w:bottom w:val="none" w:sz="0" w:space="0" w:color="auto"/>
                                        <w:right w:val="none" w:sz="0" w:space="0" w:color="auto"/>
                                      </w:divBdr>
                                      <w:divsChild>
                                        <w:div w:id="1659457370">
                                          <w:marLeft w:val="0"/>
                                          <w:marRight w:val="0"/>
                                          <w:marTop w:val="0"/>
                                          <w:marBottom w:val="0"/>
                                          <w:divBdr>
                                            <w:top w:val="none" w:sz="0" w:space="0" w:color="auto"/>
                                            <w:left w:val="none" w:sz="0" w:space="0" w:color="auto"/>
                                            <w:bottom w:val="none" w:sz="0" w:space="0" w:color="auto"/>
                                            <w:right w:val="none" w:sz="0" w:space="0" w:color="auto"/>
                                          </w:divBdr>
                                          <w:divsChild>
                                            <w:div w:id="432288984">
                                              <w:marLeft w:val="0"/>
                                              <w:marRight w:val="0"/>
                                              <w:marTop w:val="0"/>
                                              <w:marBottom w:val="0"/>
                                              <w:divBdr>
                                                <w:top w:val="none" w:sz="0" w:space="0" w:color="auto"/>
                                                <w:left w:val="none" w:sz="0" w:space="0" w:color="auto"/>
                                                <w:bottom w:val="none" w:sz="0" w:space="0" w:color="auto"/>
                                                <w:right w:val="none" w:sz="0" w:space="0" w:color="auto"/>
                                              </w:divBdr>
                                              <w:divsChild>
                                                <w:div w:id="652027300">
                                                  <w:marLeft w:val="0"/>
                                                  <w:marRight w:val="0"/>
                                                  <w:marTop w:val="0"/>
                                                  <w:marBottom w:val="0"/>
                                                  <w:divBdr>
                                                    <w:top w:val="none" w:sz="0" w:space="0" w:color="auto"/>
                                                    <w:left w:val="none" w:sz="0" w:space="0" w:color="auto"/>
                                                    <w:bottom w:val="none" w:sz="0" w:space="0" w:color="auto"/>
                                                    <w:right w:val="none" w:sz="0" w:space="0" w:color="auto"/>
                                                  </w:divBdr>
                                                  <w:divsChild>
                                                    <w:div w:id="1468160668">
                                                      <w:marLeft w:val="0"/>
                                                      <w:marRight w:val="0"/>
                                                      <w:marTop w:val="0"/>
                                                      <w:marBottom w:val="0"/>
                                                      <w:divBdr>
                                                        <w:top w:val="none" w:sz="0" w:space="0" w:color="auto"/>
                                                        <w:left w:val="none" w:sz="0" w:space="0" w:color="auto"/>
                                                        <w:bottom w:val="none" w:sz="0" w:space="0" w:color="auto"/>
                                                        <w:right w:val="none" w:sz="0" w:space="0" w:color="auto"/>
                                                      </w:divBdr>
                                                      <w:divsChild>
                                                        <w:div w:id="2026906809">
                                                          <w:marLeft w:val="0"/>
                                                          <w:marRight w:val="0"/>
                                                          <w:marTop w:val="0"/>
                                                          <w:marBottom w:val="0"/>
                                                          <w:divBdr>
                                                            <w:top w:val="none" w:sz="0" w:space="0" w:color="auto"/>
                                                            <w:left w:val="none" w:sz="0" w:space="0" w:color="auto"/>
                                                            <w:bottom w:val="none" w:sz="0" w:space="0" w:color="auto"/>
                                                            <w:right w:val="none" w:sz="0" w:space="0" w:color="auto"/>
                                                          </w:divBdr>
                                                          <w:divsChild>
                                                            <w:div w:id="1180001851">
                                                              <w:marLeft w:val="0"/>
                                                              <w:marRight w:val="0"/>
                                                              <w:marTop w:val="0"/>
                                                              <w:marBottom w:val="0"/>
                                                              <w:divBdr>
                                                                <w:top w:val="none" w:sz="0" w:space="0" w:color="auto"/>
                                                                <w:left w:val="none" w:sz="0" w:space="0" w:color="auto"/>
                                                                <w:bottom w:val="none" w:sz="0" w:space="0" w:color="auto"/>
                                                                <w:right w:val="none" w:sz="0" w:space="0" w:color="auto"/>
                                                              </w:divBdr>
                                                              <w:divsChild>
                                                                <w:div w:id="517813410">
                                                                  <w:marLeft w:val="0"/>
                                                                  <w:marRight w:val="0"/>
                                                                  <w:marTop w:val="0"/>
                                                                  <w:marBottom w:val="0"/>
                                                                  <w:divBdr>
                                                                    <w:top w:val="none" w:sz="0" w:space="0" w:color="auto"/>
                                                                    <w:left w:val="none" w:sz="0" w:space="0" w:color="auto"/>
                                                                    <w:bottom w:val="none" w:sz="0" w:space="0" w:color="auto"/>
                                                                    <w:right w:val="none" w:sz="0" w:space="0" w:color="auto"/>
                                                                  </w:divBdr>
                                                                  <w:divsChild>
                                                                    <w:div w:id="160708019">
                                                                      <w:marLeft w:val="405"/>
                                                                      <w:marRight w:val="0"/>
                                                                      <w:marTop w:val="0"/>
                                                                      <w:marBottom w:val="0"/>
                                                                      <w:divBdr>
                                                                        <w:top w:val="none" w:sz="0" w:space="0" w:color="auto"/>
                                                                        <w:left w:val="none" w:sz="0" w:space="0" w:color="auto"/>
                                                                        <w:bottom w:val="none" w:sz="0" w:space="0" w:color="auto"/>
                                                                        <w:right w:val="none" w:sz="0" w:space="0" w:color="auto"/>
                                                                      </w:divBdr>
                                                                      <w:divsChild>
                                                                        <w:div w:id="1948804604">
                                                                          <w:marLeft w:val="0"/>
                                                                          <w:marRight w:val="0"/>
                                                                          <w:marTop w:val="0"/>
                                                                          <w:marBottom w:val="0"/>
                                                                          <w:divBdr>
                                                                            <w:top w:val="none" w:sz="0" w:space="0" w:color="auto"/>
                                                                            <w:left w:val="none" w:sz="0" w:space="0" w:color="auto"/>
                                                                            <w:bottom w:val="none" w:sz="0" w:space="0" w:color="auto"/>
                                                                            <w:right w:val="none" w:sz="0" w:space="0" w:color="auto"/>
                                                                          </w:divBdr>
                                                                          <w:divsChild>
                                                                            <w:div w:id="1834174779">
                                                                              <w:marLeft w:val="0"/>
                                                                              <w:marRight w:val="0"/>
                                                                              <w:marTop w:val="0"/>
                                                                              <w:marBottom w:val="0"/>
                                                                              <w:divBdr>
                                                                                <w:top w:val="none" w:sz="0" w:space="0" w:color="auto"/>
                                                                                <w:left w:val="none" w:sz="0" w:space="0" w:color="auto"/>
                                                                                <w:bottom w:val="none" w:sz="0" w:space="0" w:color="auto"/>
                                                                                <w:right w:val="none" w:sz="0" w:space="0" w:color="auto"/>
                                                                              </w:divBdr>
                                                                              <w:divsChild>
                                                                                <w:div w:id="126826546">
                                                                                  <w:marLeft w:val="0"/>
                                                                                  <w:marRight w:val="0"/>
                                                                                  <w:marTop w:val="0"/>
                                                                                  <w:marBottom w:val="0"/>
                                                                                  <w:divBdr>
                                                                                    <w:top w:val="none" w:sz="0" w:space="0" w:color="auto"/>
                                                                                    <w:left w:val="none" w:sz="0" w:space="0" w:color="auto"/>
                                                                                    <w:bottom w:val="none" w:sz="0" w:space="0" w:color="auto"/>
                                                                                    <w:right w:val="none" w:sz="0" w:space="0" w:color="auto"/>
                                                                                  </w:divBdr>
                                                                                  <w:divsChild>
                                                                                    <w:div w:id="1115250314">
                                                                                      <w:marLeft w:val="0"/>
                                                                                      <w:marRight w:val="0"/>
                                                                                      <w:marTop w:val="0"/>
                                                                                      <w:marBottom w:val="0"/>
                                                                                      <w:divBdr>
                                                                                        <w:top w:val="none" w:sz="0" w:space="0" w:color="auto"/>
                                                                                        <w:left w:val="none" w:sz="0" w:space="0" w:color="auto"/>
                                                                                        <w:bottom w:val="none" w:sz="0" w:space="0" w:color="auto"/>
                                                                                        <w:right w:val="none" w:sz="0" w:space="0" w:color="auto"/>
                                                                                      </w:divBdr>
                                                                                      <w:divsChild>
                                                                                        <w:div w:id="1588689073">
                                                                                          <w:marLeft w:val="0"/>
                                                                                          <w:marRight w:val="0"/>
                                                                                          <w:marTop w:val="0"/>
                                                                                          <w:marBottom w:val="0"/>
                                                                                          <w:divBdr>
                                                                                            <w:top w:val="none" w:sz="0" w:space="0" w:color="auto"/>
                                                                                            <w:left w:val="none" w:sz="0" w:space="0" w:color="auto"/>
                                                                                            <w:bottom w:val="none" w:sz="0" w:space="0" w:color="auto"/>
                                                                                            <w:right w:val="none" w:sz="0" w:space="0" w:color="auto"/>
                                                                                          </w:divBdr>
                                                                                          <w:divsChild>
                                                                                            <w:div w:id="670714744">
                                                                                              <w:marLeft w:val="0"/>
                                                                                              <w:marRight w:val="0"/>
                                                                                              <w:marTop w:val="0"/>
                                                                                              <w:marBottom w:val="0"/>
                                                                                              <w:divBdr>
                                                                                                <w:top w:val="none" w:sz="0" w:space="0" w:color="auto"/>
                                                                                                <w:left w:val="none" w:sz="0" w:space="0" w:color="auto"/>
                                                                                                <w:bottom w:val="none" w:sz="0" w:space="0" w:color="auto"/>
                                                                                                <w:right w:val="none" w:sz="0" w:space="0" w:color="auto"/>
                                                                                              </w:divBdr>
                                                                                              <w:divsChild>
                                                                                                <w:div w:id="1962682125">
                                                                                                  <w:marLeft w:val="0"/>
                                                                                                  <w:marRight w:val="0"/>
                                                                                                  <w:marTop w:val="0"/>
                                                                                                  <w:marBottom w:val="0"/>
                                                                                                  <w:divBdr>
                                                                                                    <w:top w:val="none" w:sz="0" w:space="0" w:color="auto"/>
                                                                                                    <w:left w:val="single" w:sz="12" w:space="8" w:color="auto"/>
                                                                                                    <w:bottom w:val="none" w:sz="0" w:space="0" w:color="auto"/>
                                                                                                    <w:right w:val="none" w:sz="0" w:space="0" w:color="auto"/>
                                                                                                  </w:divBdr>
                                                                                                  <w:divsChild>
                                                                                                    <w:div w:id="1988128482">
                                                                                                      <w:marLeft w:val="0"/>
                                                                                                      <w:marRight w:val="0"/>
                                                                                                      <w:marTop w:val="0"/>
                                                                                                      <w:marBottom w:val="0"/>
                                                                                                      <w:divBdr>
                                                                                                        <w:top w:val="none" w:sz="0" w:space="0" w:color="auto"/>
                                                                                                        <w:left w:val="none" w:sz="0" w:space="0" w:color="auto"/>
                                                                                                        <w:bottom w:val="none" w:sz="0" w:space="0" w:color="auto"/>
                                                                                                        <w:right w:val="none" w:sz="0" w:space="0" w:color="auto"/>
                                                                                                      </w:divBdr>
                                                                                                      <w:divsChild>
                                                                                                        <w:div w:id="1549613073">
                                                                                                          <w:marLeft w:val="0"/>
                                                                                                          <w:marRight w:val="0"/>
                                                                                                          <w:marTop w:val="0"/>
                                                                                                          <w:marBottom w:val="0"/>
                                                                                                          <w:divBdr>
                                                                                                            <w:top w:val="none" w:sz="0" w:space="0" w:color="auto"/>
                                                                                                            <w:left w:val="none" w:sz="0" w:space="0" w:color="auto"/>
                                                                                                            <w:bottom w:val="none" w:sz="0" w:space="0" w:color="auto"/>
                                                                                                            <w:right w:val="none" w:sz="0" w:space="0" w:color="auto"/>
                                                                                                          </w:divBdr>
                                                                                                          <w:divsChild>
                                                                                                            <w:div w:id="281153760">
                                                                                                              <w:marLeft w:val="0"/>
                                                                                                              <w:marRight w:val="0"/>
                                                                                                              <w:marTop w:val="0"/>
                                                                                                              <w:marBottom w:val="0"/>
                                                                                                              <w:divBdr>
                                                                                                                <w:top w:val="none" w:sz="0" w:space="0" w:color="auto"/>
                                                                                                                <w:left w:val="none" w:sz="0" w:space="0" w:color="auto"/>
                                                                                                                <w:bottom w:val="none" w:sz="0" w:space="0" w:color="auto"/>
                                                                                                                <w:right w:val="none" w:sz="0" w:space="0" w:color="auto"/>
                                                                                                              </w:divBdr>
                                                                                                              <w:divsChild>
                                                                                                                <w:div w:id="790779470">
                                                                                                                  <w:marLeft w:val="0"/>
                                                                                                                  <w:marRight w:val="0"/>
                                                                                                                  <w:marTop w:val="0"/>
                                                                                                                  <w:marBottom w:val="0"/>
                                                                                                                  <w:divBdr>
                                                                                                                    <w:top w:val="none" w:sz="0" w:space="0" w:color="auto"/>
                                                                                                                    <w:left w:val="none" w:sz="0" w:space="0" w:color="auto"/>
                                                                                                                    <w:bottom w:val="none" w:sz="0" w:space="0" w:color="auto"/>
                                                                                                                    <w:right w:val="none" w:sz="0" w:space="0" w:color="auto"/>
                                                                                                                  </w:divBdr>
                                                                                                                  <w:divsChild>
                                                                                                                    <w:div w:id="713693395">
                                                                                                                      <w:marLeft w:val="0"/>
                                                                                                                      <w:marRight w:val="0"/>
                                                                                                                      <w:marTop w:val="0"/>
                                                                                                                      <w:marBottom w:val="0"/>
                                                                                                                      <w:divBdr>
                                                                                                                        <w:top w:val="none" w:sz="0" w:space="0" w:color="auto"/>
                                                                                                                        <w:left w:val="none" w:sz="0" w:space="0" w:color="auto"/>
                                                                                                                        <w:bottom w:val="none" w:sz="0" w:space="0" w:color="auto"/>
                                                                                                                        <w:right w:val="none" w:sz="0" w:space="0" w:color="auto"/>
                                                                                                                      </w:divBdr>
                                                                                                                    </w:div>
                                                                                                                    <w:div w:id="1851289487">
                                                                                                                      <w:marLeft w:val="0"/>
                                                                                                                      <w:marRight w:val="0"/>
                                                                                                                      <w:marTop w:val="0"/>
                                                                                                                      <w:marBottom w:val="0"/>
                                                                                                                      <w:divBdr>
                                                                                                                        <w:top w:val="none" w:sz="0" w:space="0" w:color="auto"/>
                                                                                                                        <w:left w:val="none" w:sz="0" w:space="0" w:color="auto"/>
                                                                                                                        <w:bottom w:val="none" w:sz="0" w:space="0" w:color="auto"/>
                                                                                                                        <w:right w:val="none" w:sz="0" w:space="0" w:color="auto"/>
                                                                                                                      </w:divBdr>
                                                                                                                    </w:div>
                                                                                                                    <w:div w:id="1945649637">
                                                                                                                      <w:marLeft w:val="0"/>
                                                                                                                      <w:marRight w:val="0"/>
                                                                                                                      <w:marTop w:val="0"/>
                                                                                                                      <w:marBottom w:val="0"/>
                                                                                                                      <w:divBdr>
                                                                                                                        <w:top w:val="none" w:sz="0" w:space="0" w:color="auto"/>
                                                                                                                        <w:left w:val="none" w:sz="0" w:space="0" w:color="auto"/>
                                                                                                                        <w:bottom w:val="none" w:sz="0" w:space="0" w:color="auto"/>
                                                                                                                        <w:right w:val="none" w:sz="0" w:space="0" w:color="auto"/>
                                                                                                                      </w:divBdr>
                                                                                                                    </w:div>
                                                                                                                    <w:div w:id="147064391">
                                                                                                                      <w:marLeft w:val="0"/>
                                                                                                                      <w:marRight w:val="0"/>
                                                                                                                      <w:marTop w:val="0"/>
                                                                                                                      <w:marBottom w:val="0"/>
                                                                                                                      <w:divBdr>
                                                                                                                        <w:top w:val="none" w:sz="0" w:space="0" w:color="auto"/>
                                                                                                                        <w:left w:val="none" w:sz="0" w:space="0" w:color="auto"/>
                                                                                                                        <w:bottom w:val="none" w:sz="0" w:space="0" w:color="auto"/>
                                                                                                                        <w:right w:val="none" w:sz="0" w:space="0" w:color="auto"/>
                                                                                                                      </w:divBdr>
                                                                                                                    </w:div>
                                                                                                                    <w:div w:id="1223446472">
                                                                                                                      <w:marLeft w:val="0"/>
                                                                                                                      <w:marRight w:val="0"/>
                                                                                                                      <w:marTop w:val="0"/>
                                                                                                                      <w:marBottom w:val="0"/>
                                                                                                                      <w:divBdr>
                                                                                                                        <w:top w:val="none" w:sz="0" w:space="0" w:color="auto"/>
                                                                                                                        <w:left w:val="none" w:sz="0" w:space="0" w:color="auto"/>
                                                                                                                        <w:bottom w:val="none" w:sz="0" w:space="0" w:color="auto"/>
                                                                                                                        <w:right w:val="none" w:sz="0" w:space="0" w:color="auto"/>
                                                                                                                      </w:divBdr>
                                                                                                                    </w:div>
                                                                                                                    <w:div w:id="1187136323">
                                                                                                                      <w:marLeft w:val="0"/>
                                                                                                                      <w:marRight w:val="0"/>
                                                                                                                      <w:marTop w:val="0"/>
                                                                                                                      <w:marBottom w:val="0"/>
                                                                                                                      <w:divBdr>
                                                                                                                        <w:top w:val="none" w:sz="0" w:space="0" w:color="auto"/>
                                                                                                                        <w:left w:val="none" w:sz="0" w:space="0" w:color="auto"/>
                                                                                                                        <w:bottom w:val="none" w:sz="0" w:space="0" w:color="auto"/>
                                                                                                                        <w:right w:val="none" w:sz="0" w:space="0" w:color="auto"/>
                                                                                                                      </w:divBdr>
                                                                                                                    </w:div>
                                                                                                                    <w:div w:id="188612906">
                                                                                                                      <w:marLeft w:val="0"/>
                                                                                                                      <w:marRight w:val="0"/>
                                                                                                                      <w:marTop w:val="0"/>
                                                                                                                      <w:marBottom w:val="0"/>
                                                                                                                      <w:divBdr>
                                                                                                                        <w:top w:val="none" w:sz="0" w:space="0" w:color="auto"/>
                                                                                                                        <w:left w:val="none" w:sz="0" w:space="0" w:color="auto"/>
                                                                                                                        <w:bottom w:val="none" w:sz="0" w:space="0" w:color="auto"/>
                                                                                                                        <w:right w:val="none" w:sz="0" w:space="0" w:color="auto"/>
                                                                                                                      </w:divBdr>
                                                                                                                    </w:div>
                                                                                                                    <w:div w:id="1027828031">
                                                                                                                      <w:marLeft w:val="0"/>
                                                                                                                      <w:marRight w:val="0"/>
                                                                                                                      <w:marTop w:val="0"/>
                                                                                                                      <w:marBottom w:val="0"/>
                                                                                                                      <w:divBdr>
                                                                                                                        <w:top w:val="none" w:sz="0" w:space="0" w:color="auto"/>
                                                                                                                        <w:left w:val="none" w:sz="0" w:space="0" w:color="auto"/>
                                                                                                                        <w:bottom w:val="none" w:sz="0" w:space="0" w:color="auto"/>
                                                                                                                        <w:right w:val="none" w:sz="0" w:space="0" w:color="auto"/>
                                                                                                                      </w:divBdr>
                                                                                                                    </w:div>
                                                                                                                    <w:div w:id="1300650439">
                                                                                                                      <w:marLeft w:val="0"/>
                                                                                                                      <w:marRight w:val="0"/>
                                                                                                                      <w:marTop w:val="0"/>
                                                                                                                      <w:marBottom w:val="0"/>
                                                                                                                      <w:divBdr>
                                                                                                                        <w:top w:val="none" w:sz="0" w:space="0" w:color="auto"/>
                                                                                                                        <w:left w:val="none" w:sz="0" w:space="0" w:color="auto"/>
                                                                                                                        <w:bottom w:val="none" w:sz="0" w:space="0" w:color="auto"/>
                                                                                                                        <w:right w:val="none" w:sz="0" w:space="0" w:color="auto"/>
                                                                                                                      </w:divBdr>
                                                                                                                    </w:div>
                                                                                                                    <w:div w:id="156186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6783241">
      <w:bodyDiv w:val="1"/>
      <w:marLeft w:val="0"/>
      <w:marRight w:val="0"/>
      <w:marTop w:val="0"/>
      <w:marBottom w:val="0"/>
      <w:divBdr>
        <w:top w:val="none" w:sz="0" w:space="0" w:color="auto"/>
        <w:left w:val="none" w:sz="0" w:space="0" w:color="auto"/>
        <w:bottom w:val="none" w:sz="0" w:space="0" w:color="auto"/>
        <w:right w:val="none" w:sz="0" w:space="0" w:color="auto"/>
      </w:divBdr>
    </w:div>
    <w:div w:id="1328173918">
      <w:bodyDiv w:val="1"/>
      <w:marLeft w:val="0"/>
      <w:marRight w:val="0"/>
      <w:marTop w:val="100"/>
      <w:marBottom w:val="100"/>
      <w:divBdr>
        <w:top w:val="none" w:sz="0" w:space="0" w:color="auto"/>
        <w:left w:val="none" w:sz="0" w:space="0" w:color="auto"/>
        <w:bottom w:val="none" w:sz="0" w:space="0" w:color="auto"/>
        <w:right w:val="none" w:sz="0" w:space="0" w:color="auto"/>
      </w:divBdr>
      <w:divsChild>
        <w:div w:id="1249195874">
          <w:marLeft w:val="0"/>
          <w:marRight w:val="0"/>
          <w:marTop w:val="0"/>
          <w:marBottom w:val="0"/>
          <w:divBdr>
            <w:top w:val="none" w:sz="0" w:space="0" w:color="auto"/>
            <w:left w:val="none" w:sz="0" w:space="0" w:color="auto"/>
            <w:bottom w:val="none" w:sz="0" w:space="0" w:color="auto"/>
            <w:right w:val="none" w:sz="0" w:space="0" w:color="auto"/>
          </w:divBdr>
          <w:divsChild>
            <w:div w:id="620653207">
              <w:marLeft w:val="0"/>
              <w:marRight w:val="0"/>
              <w:marTop w:val="900"/>
              <w:marBottom w:val="0"/>
              <w:divBdr>
                <w:top w:val="none" w:sz="0" w:space="0" w:color="auto"/>
                <w:left w:val="none" w:sz="0" w:space="0" w:color="auto"/>
                <w:bottom w:val="none" w:sz="0" w:space="0" w:color="auto"/>
                <w:right w:val="none" w:sz="0" w:space="0" w:color="auto"/>
              </w:divBdr>
              <w:divsChild>
                <w:div w:id="225645758">
                  <w:marLeft w:val="0"/>
                  <w:marRight w:val="0"/>
                  <w:marTop w:val="0"/>
                  <w:marBottom w:val="0"/>
                  <w:divBdr>
                    <w:top w:val="none" w:sz="0" w:space="0" w:color="auto"/>
                    <w:left w:val="none" w:sz="0" w:space="0" w:color="auto"/>
                    <w:bottom w:val="none" w:sz="0" w:space="0" w:color="auto"/>
                    <w:right w:val="none" w:sz="0" w:space="0" w:color="auto"/>
                  </w:divBdr>
                </w:div>
                <w:div w:id="115213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503192">
      <w:bodyDiv w:val="1"/>
      <w:marLeft w:val="0"/>
      <w:marRight w:val="0"/>
      <w:marTop w:val="0"/>
      <w:marBottom w:val="0"/>
      <w:divBdr>
        <w:top w:val="none" w:sz="0" w:space="0" w:color="auto"/>
        <w:left w:val="none" w:sz="0" w:space="0" w:color="auto"/>
        <w:bottom w:val="none" w:sz="0" w:space="0" w:color="auto"/>
        <w:right w:val="none" w:sz="0" w:space="0" w:color="auto"/>
      </w:divBdr>
    </w:div>
    <w:div w:id="1433740572">
      <w:bodyDiv w:val="1"/>
      <w:marLeft w:val="0"/>
      <w:marRight w:val="0"/>
      <w:marTop w:val="0"/>
      <w:marBottom w:val="0"/>
      <w:divBdr>
        <w:top w:val="none" w:sz="0" w:space="0" w:color="auto"/>
        <w:left w:val="none" w:sz="0" w:space="0" w:color="auto"/>
        <w:bottom w:val="none" w:sz="0" w:space="0" w:color="auto"/>
        <w:right w:val="none" w:sz="0" w:space="0" w:color="auto"/>
      </w:divBdr>
    </w:div>
    <w:div w:id="1476678291">
      <w:bodyDiv w:val="1"/>
      <w:marLeft w:val="0"/>
      <w:marRight w:val="0"/>
      <w:marTop w:val="0"/>
      <w:marBottom w:val="0"/>
      <w:divBdr>
        <w:top w:val="none" w:sz="0" w:space="0" w:color="auto"/>
        <w:left w:val="none" w:sz="0" w:space="0" w:color="auto"/>
        <w:bottom w:val="none" w:sz="0" w:space="0" w:color="auto"/>
        <w:right w:val="none" w:sz="0" w:space="0" w:color="auto"/>
      </w:divBdr>
      <w:divsChild>
        <w:div w:id="2138334861">
          <w:marLeft w:val="0"/>
          <w:marRight w:val="0"/>
          <w:marTop w:val="0"/>
          <w:marBottom w:val="0"/>
          <w:divBdr>
            <w:top w:val="none" w:sz="0" w:space="0" w:color="auto"/>
            <w:left w:val="none" w:sz="0" w:space="0" w:color="auto"/>
            <w:bottom w:val="none" w:sz="0" w:space="0" w:color="auto"/>
            <w:right w:val="none" w:sz="0" w:space="0" w:color="auto"/>
          </w:divBdr>
          <w:divsChild>
            <w:div w:id="1871644702">
              <w:marLeft w:val="0"/>
              <w:marRight w:val="0"/>
              <w:marTop w:val="0"/>
              <w:marBottom w:val="0"/>
              <w:divBdr>
                <w:top w:val="none" w:sz="0" w:space="0" w:color="auto"/>
                <w:left w:val="none" w:sz="0" w:space="0" w:color="auto"/>
                <w:bottom w:val="none" w:sz="0" w:space="0" w:color="auto"/>
                <w:right w:val="none" w:sz="0" w:space="0" w:color="auto"/>
              </w:divBdr>
              <w:divsChild>
                <w:div w:id="961420036">
                  <w:marLeft w:val="0"/>
                  <w:marRight w:val="0"/>
                  <w:marTop w:val="0"/>
                  <w:marBottom w:val="0"/>
                  <w:divBdr>
                    <w:top w:val="none" w:sz="0" w:space="0" w:color="auto"/>
                    <w:left w:val="none" w:sz="0" w:space="0" w:color="auto"/>
                    <w:bottom w:val="none" w:sz="0" w:space="0" w:color="auto"/>
                    <w:right w:val="none" w:sz="0" w:space="0" w:color="auto"/>
                  </w:divBdr>
                  <w:divsChild>
                    <w:div w:id="708607713">
                      <w:marLeft w:val="0"/>
                      <w:marRight w:val="0"/>
                      <w:marTop w:val="0"/>
                      <w:marBottom w:val="0"/>
                      <w:divBdr>
                        <w:top w:val="none" w:sz="0" w:space="0" w:color="auto"/>
                        <w:left w:val="none" w:sz="0" w:space="0" w:color="auto"/>
                        <w:bottom w:val="none" w:sz="0" w:space="0" w:color="auto"/>
                        <w:right w:val="none" w:sz="0" w:space="0" w:color="auto"/>
                      </w:divBdr>
                      <w:divsChild>
                        <w:div w:id="742533060">
                          <w:marLeft w:val="0"/>
                          <w:marRight w:val="0"/>
                          <w:marTop w:val="0"/>
                          <w:marBottom w:val="0"/>
                          <w:divBdr>
                            <w:top w:val="none" w:sz="0" w:space="0" w:color="auto"/>
                            <w:left w:val="none" w:sz="0" w:space="0" w:color="auto"/>
                            <w:bottom w:val="none" w:sz="0" w:space="0" w:color="auto"/>
                            <w:right w:val="none" w:sz="0" w:space="0" w:color="auto"/>
                          </w:divBdr>
                          <w:divsChild>
                            <w:div w:id="1043747250">
                              <w:marLeft w:val="15"/>
                              <w:marRight w:val="195"/>
                              <w:marTop w:val="0"/>
                              <w:marBottom w:val="0"/>
                              <w:divBdr>
                                <w:top w:val="none" w:sz="0" w:space="0" w:color="auto"/>
                                <w:left w:val="none" w:sz="0" w:space="0" w:color="auto"/>
                                <w:bottom w:val="none" w:sz="0" w:space="0" w:color="auto"/>
                                <w:right w:val="none" w:sz="0" w:space="0" w:color="auto"/>
                              </w:divBdr>
                              <w:divsChild>
                                <w:div w:id="1953903868">
                                  <w:marLeft w:val="0"/>
                                  <w:marRight w:val="0"/>
                                  <w:marTop w:val="0"/>
                                  <w:marBottom w:val="0"/>
                                  <w:divBdr>
                                    <w:top w:val="none" w:sz="0" w:space="0" w:color="auto"/>
                                    <w:left w:val="none" w:sz="0" w:space="0" w:color="auto"/>
                                    <w:bottom w:val="none" w:sz="0" w:space="0" w:color="auto"/>
                                    <w:right w:val="none" w:sz="0" w:space="0" w:color="auto"/>
                                  </w:divBdr>
                                  <w:divsChild>
                                    <w:div w:id="944388440">
                                      <w:marLeft w:val="0"/>
                                      <w:marRight w:val="0"/>
                                      <w:marTop w:val="0"/>
                                      <w:marBottom w:val="0"/>
                                      <w:divBdr>
                                        <w:top w:val="none" w:sz="0" w:space="0" w:color="auto"/>
                                        <w:left w:val="none" w:sz="0" w:space="0" w:color="auto"/>
                                        <w:bottom w:val="none" w:sz="0" w:space="0" w:color="auto"/>
                                        <w:right w:val="none" w:sz="0" w:space="0" w:color="auto"/>
                                      </w:divBdr>
                                      <w:divsChild>
                                        <w:div w:id="1977880435">
                                          <w:marLeft w:val="0"/>
                                          <w:marRight w:val="0"/>
                                          <w:marTop w:val="0"/>
                                          <w:marBottom w:val="0"/>
                                          <w:divBdr>
                                            <w:top w:val="none" w:sz="0" w:space="0" w:color="auto"/>
                                            <w:left w:val="none" w:sz="0" w:space="0" w:color="auto"/>
                                            <w:bottom w:val="none" w:sz="0" w:space="0" w:color="auto"/>
                                            <w:right w:val="none" w:sz="0" w:space="0" w:color="auto"/>
                                          </w:divBdr>
                                          <w:divsChild>
                                            <w:div w:id="1268195764">
                                              <w:marLeft w:val="0"/>
                                              <w:marRight w:val="0"/>
                                              <w:marTop w:val="0"/>
                                              <w:marBottom w:val="0"/>
                                              <w:divBdr>
                                                <w:top w:val="none" w:sz="0" w:space="0" w:color="auto"/>
                                                <w:left w:val="none" w:sz="0" w:space="0" w:color="auto"/>
                                                <w:bottom w:val="none" w:sz="0" w:space="0" w:color="auto"/>
                                                <w:right w:val="none" w:sz="0" w:space="0" w:color="auto"/>
                                              </w:divBdr>
                                              <w:divsChild>
                                                <w:div w:id="403452386">
                                                  <w:marLeft w:val="0"/>
                                                  <w:marRight w:val="0"/>
                                                  <w:marTop w:val="0"/>
                                                  <w:marBottom w:val="0"/>
                                                  <w:divBdr>
                                                    <w:top w:val="none" w:sz="0" w:space="0" w:color="auto"/>
                                                    <w:left w:val="none" w:sz="0" w:space="0" w:color="auto"/>
                                                    <w:bottom w:val="none" w:sz="0" w:space="0" w:color="auto"/>
                                                    <w:right w:val="none" w:sz="0" w:space="0" w:color="auto"/>
                                                  </w:divBdr>
                                                  <w:divsChild>
                                                    <w:div w:id="1422408735">
                                                      <w:marLeft w:val="0"/>
                                                      <w:marRight w:val="0"/>
                                                      <w:marTop w:val="0"/>
                                                      <w:marBottom w:val="0"/>
                                                      <w:divBdr>
                                                        <w:top w:val="none" w:sz="0" w:space="0" w:color="auto"/>
                                                        <w:left w:val="none" w:sz="0" w:space="0" w:color="auto"/>
                                                        <w:bottom w:val="none" w:sz="0" w:space="0" w:color="auto"/>
                                                        <w:right w:val="none" w:sz="0" w:space="0" w:color="auto"/>
                                                      </w:divBdr>
                                                      <w:divsChild>
                                                        <w:div w:id="658269203">
                                                          <w:marLeft w:val="0"/>
                                                          <w:marRight w:val="0"/>
                                                          <w:marTop w:val="0"/>
                                                          <w:marBottom w:val="0"/>
                                                          <w:divBdr>
                                                            <w:top w:val="none" w:sz="0" w:space="0" w:color="auto"/>
                                                            <w:left w:val="none" w:sz="0" w:space="0" w:color="auto"/>
                                                            <w:bottom w:val="none" w:sz="0" w:space="0" w:color="auto"/>
                                                            <w:right w:val="none" w:sz="0" w:space="0" w:color="auto"/>
                                                          </w:divBdr>
                                                          <w:divsChild>
                                                            <w:div w:id="1506240130">
                                                              <w:marLeft w:val="0"/>
                                                              <w:marRight w:val="0"/>
                                                              <w:marTop w:val="0"/>
                                                              <w:marBottom w:val="0"/>
                                                              <w:divBdr>
                                                                <w:top w:val="none" w:sz="0" w:space="0" w:color="auto"/>
                                                                <w:left w:val="none" w:sz="0" w:space="0" w:color="auto"/>
                                                                <w:bottom w:val="none" w:sz="0" w:space="0" w:color="auto"/>
                                                                <w:right w:val="none" w:sz="0" w:space="0" w:color="auto"/>
                                                              </w:divBdr>
                                                              <w:divsChild>
                                                                <w:div w:id="1593393929">
                                                                  <w:marLeft w:val="0"/>
                                                                  <w:marRight w:val="0"/>
                                                                  <w:marTop w:val="0"/>
                                                                  <w:marBottom w:val="0"/>
                                                                  <w:divBdr>
                                                                    <w:top w:val="none" w:sz="0" w:space="0" w:color="auto"/>
                                                                    <w:left w:val="none" w:sz="0" w:space="0" w:color="auto"/>
                                                                    <w:bottom w:val="none" w:sz="0" w:space="0" w:color="auto"/>
                                                                    <w:right w:val="none" w:sz="0" w:space="0" w:color="auto"/>
                                                                  </w:divBdr>
                                                                  <w:divsChild>
                                                                    <w:div w:id="1097753152">
                                                                      <w:marLeft w:val="405"/>
                                                                      <w:marRight w:val="0"/>
                                                                      <w:marTop w:val="0"/>
                                                                      <w:marBottom w:val="0"/>
                                                                      <w:divBdr>
                                                                        <w:top w:val="none" w:sz="0" w:space="0" w:color="auto"/>
                                                                        <w:left w:val="none" w:sz="0" w:space="0" w:color="auto"/>
                                                                        <w:bottom w:val="none" w:sz="0" w:space="0" w:color="auto"/>
                                                                        <w:right w:val="none" w:sz="0" w:space="0" w:color="auto"/>
                                                                      </w:divBdr>
                                                                      <w:divsChild>
                                                                        <w:div w:id="257177292">
                                                                          <w:marLeft w:val="0"/>
                                                                          <w:marRight w:val="0"/>
                                                                          <w:marTop w:val="0"/>
                                                                          <w:marBottom w:val="0"/>
                                                                          <w:divBdr>
                                                                            <w:top w:val="none" w:sz="0" w:space="0" w:color="auto"/>
                                                                            <w:left w:val="none" w:sz="0" w:space="0" w:color="auto"/>
                                                                            <w:bottom w:val="none" w:sz="0" w:space="0" w:color="auto"/>
                                                                            <w:right w:val="none" w:sz="0" w:space="0" w:color="auto"/>
                                                                          </w:divBdr>
                                                                          <w:divsChild>
                                                                            <w:div w:id="552888881">
                                                                              <w:marLeft w:val="0"/>
                                                                              <w:marRight w:val="0"/>
                                                                              <w:marTop w:val="0"/>
                                                                              <w:marBottom w:val="0"/>
                                                                              <w:divBdr>
                                                                                <w:top w:val="none" w:sz="0" w:space="0" w:color="auto"/>
                                                                                <w:left w:val="none" w:sz="0" w:space="0" w:color="auto"/>
                                                                                <w:bottom w:val="none" w:sz="0" w:space="0" w:color="auto"/>
                                                                                <w:right w:val="none" w:sz="0" w:space="0" w:color="auto"/>
                                                                              </w:divBdr>
                                                                              <w:divsChild>
                                                                                <w:div w:id="1883251452">
                                                                                  <w:marLeft w:val="0"/>
                                                                                  <w:marRight w:val="0"/>
                                                                                  <w:marTop w:val="0"/>
                                                                                  <w:marBottom w:val="0"/>
                                                                                  <w:divBdr>
                                                                                    <w:top w:val="none" w:sz="0" w:space="0" w:color="auto"/>
                                                                                    <w:left w:val="none" w:sz="0" w:space="0" w:color="auto"/>
                                                                                    <w:bottom w:val="none" w:sz="0" w:space="0" w:color="auto"/>
                                                                                    <w:right w:val="none" w:sz="0" w:space="0" w:color="auto"/>
                                                                                  </w:divBdr>
                                                                                  <w:divsChild>
                                                                                    <w:div w:id="618924626">
                                                                                      <w:marLeft w:val="0"/>
                                                                                      <w:marRight w:val="0"/>
                                                                                      <w:marTop w:val="0"/>
                                                                                      <w:marBottom w:val="0"/>
                                                                                      <w:divBdr>
                                                                                        <w:top w:val="none" w:sz="0" w:space="0" w:color="auto"/>
                                                                                        <w:left w:val="none" w:sz="0" w:space="0" w:color="auto"/>
                                                                                        <w:bottom w:val="none" w:sz="0" w:space="0" w:color="auto"/>
                                                                                        <w:right w:val="none" w:sz="0" w:space="0" w:color="auto"/>
                                                                                      </w:divBdr>
                                                                                      <w:divsChild>
                                                                                        <w:div w:id="756950530">
                                                                                          <w:marLeft w:val="0"/>
                                                                                          <w:marRight w:val="0"/>
                                                                                          <w:marTop w:val="0"/>
                                                                                          <w:marBottom w:val="0"/>
                                                                                          <w:divBdr>
                                                                                            <w:top w:val="none" w:sz="0" w:space="0" w:color="auto"/>
                                                                                            <w:left w:val="none" w:sz="0" w:space="0" w:color="auto"/>
                                                                                            <w:bottom w:val="none" w:sz="0" w:space="0" w:color="auto"/>
                                                                                            <w:right w:val="none" w:sz="0" w:space="0" w:color="auto"/>
                                                                                          </w:divBdr>
                                                                                          <w:divsChild>
                                                                                            <w:div w:id="1772240271">
                                                                                              <w:marLeft w:val="0"/>
                                                                                              <w:marRight w:val="0"/>
                                                                                              <w:marTop w:val="0"/>
                                                                                              <w:marBottom w:val="0"/>
                                                                                              <w:divBdr>
                                                                                                <w:top w:val="none" w:sz="0" w:space="0" w:color="auto"/>
                                                                                                <w:left w:val="none" w:sz="0" w:space="0" w:color="auto"/>
                                                                                                <w:bottom w:val="none" w:sz="0" w:space="0" w:color="auto"/>
                                                                                                <w:right w:val="none" w:sz="0" w:space="0" w:color="auto"/>
                                                                                              </w:divBdr>
                                                                                              <w:divsChild>
                                                                                                <w:div w:id="2087919431">
                                                                                                  <w:marLeft w:val="0"/>
                                                                                                  <w:marRight w:val="0"/>
                                                                                                  <w:marTop w:val="0"/>
                                                                                                  <w:marBottom w:val="0"/>
                                                                                                  <w:divBdr>
                                                                                                    <w:top w:val="none" w:sz="0" w:space="0" w:color="auto"/>
                                                                                                    <w:left w:val="single" w:sz="12" w:space="8" w:color="auto"/>
                                                                                                    <w:bottom w:val="none" w:sz="0" w:space="0" w:color="auto"/>
                                                                                                    <w:right w:val="none" w:sz="0" w:space="0" w:color="auto"/>
                                                                                                  </w:divBdr>
                                                                                                  <w:divsChild>
                                                                                                    <w:div w:id="764693843">
                                                                                                      <w:marLeft w:val="0"/>
                                                                                                      <w:marRight w:val="0"/>
                                                                                                      <w:marTop w:val="0"/>
                                                                                                      <w:marBottom w:val="0"/>
                                                                                                      <w:divBdr>
                                                                                                        <w:top w:val="none" w:sz="0" w:space="0" w:color="auto"/>
                                                                                                        <w:left w:val="none" w:sz="0" w:space="0" w:color="auto"/>
                                                                                                        <w:bottom w:val="none" w:sz="0" w:space="0" w:color="auto"/>
                                                                                                        <w:right w:val="none" w:sz="0" w:space="0" w:color="auto"/>
                                                                                                      </w:divBdr>
                                                                                                      <w:divsChild>
                                                                                                        <w:div w:id="469248765">
                                                                                                          <w:marLeft w:val="0"/>
                                                                                                          <w:marRight w:val="0"/>
                                                                                                          <w:marTop w:val="0"/>
                                                                                                          <w:marBottom w:val="0"/>
                                                                                                          <w:divBdr>
                                                                                                            <w:top w:val="none" w:sz="0" w:space="0" w:color="auto"/>
                                                                                                            <w:left w:val="none" w:sz="0" w:space="0" w:color="auto"/>
                                                                                                            <w:bottom w:val="none" w:sz="0" w:space="0" w:color="auto"/>
                                                                                                            <w:right w:val="none" w:sz="0" w:space="0" w:color="auto"/>
                                                                                                          </w:divBdr>
                                                                                                          <w:divsChild>
                                                                                                            <w:div w:id="1701082831">
                                                                                                              <w:marLeft w:val="0"/>
                                                                                                              <w:marRight w:val="0"/>
                                                                                                              <w:marTop w:val="0"/>
                                                                                                              <w:marBottom w:val="0"/>
                                                                                                              <w:divBdr>
                                                                                                                <w:top w:val="none" w:sz="0" w:space="0" w:color="auto"/>
                                                                                                                <w:left w:val="none" w:sz="0" w:space="0" w:color="auto"/>
                                                                                                                <w:bottom w:val="none" w:sz="0" w:space="0" w:color="auto"/>
                                                                                                                <w:right w:val="none" w:sz="0" w:space="0" w:color="auto"/>
                                                                                                              </w:divBdr>
                                                                                                              <w:divsChild>
                                                                                                                <w:div w:id="1549683493">
                                                                                                                  <w:marLeft w:val="0"/>
                                                                                                                  <w:marRight w:val="0"/>
                                                                                                                  <w:marTop w:val="0"/>
                                                                                                                  <w:marBottom w:val="0"/>
                                                                                                                  <w:divBdr>
                                                                                                                    <w:top w:val="none" w:sz="0" w:space="0" w:color="auto"/>
                                                                                                                    <w:left w:val="none" w:sz="0" w:space="0" w:color="auto"/>
                                                                                                                    <w:bottom w:val="none" w:sz="0" w:space="0" w:color="auto"/>
                                                                                                                    <w:right w:val="none" w:sz="0" w:space="0" w:color="auto"/>
                                                                                                                  </w:divBdr>
                                                                                                                  <w:divsChild>
                                                                                                                    <w:div w:id="898369157">
                                                                                                                      <w:marLeft w:val="0"/>
                                                                                                                      <w:marRight w:val="0"/>
                                                                                                                      <w:marTop w:val="0"/>
                                                                                                                      <w:marBottom w:val="0"/>
                                                                                                                      <w:divBdr>
                                                                                                                        <w:top w:val="none" w:sz="0" w:space="0" w:color="auto"/>
                                                                                                                        <w:left w:val="none" w:sz="0" w:space="0" w:color="auto"/>
                                                                                                                        <w:bottom w:val="none" w:sz="0" w:space="0" w:color="auto"/>
                                                                                                                        <w:right w:val="none" w:sz="0" w:space="0" w:color="auto"/>
                                                                                                                      </w:divBdr>
                                                                                                                    </w:div>
                                                                                                                    <w:div w:id="859054455">
                                                                                                                      <w:marLeft w:val="0"/>
                                                                                                                      <w:marRight w:val="0"/>
                                                                                                                      <w:marTop w:val="0"/>
                                                                                                                      <w:marBottom w:val="0"/>
                                                                                                                      <w:divBdr>
                                                                                                                        <w:top w:val="none" w:sz="0" w:space="0" w:color="auto"/>
                                                                                                                        <w:left w:val="none" w:sz="0" w:space="0" w:color="auto"/>
                                                                                                                        <w:bottom w:val="none" w:sz="0" w:space="0" w:color="auto"/>
                                                                                                                        <w:right w:val="none" w:sz="0" w:space="0" w:color="auto"/>
                                                                                                                      </w:divBdr>
                                                                                                                    </w:div>
                                                                                                                    <w:div w:id="1695569973">
                                                                                                                      <w:marLeft w:val="0"/>
                                                                                                                      <w:marRight w:val="0"/>
                                                                                                                      <w:marTop w:val="0"/>
                                                                                                                      <w:marBottom w:val="0"/>
                                                                                                                      <w:divBdr>
                                                                                                                        <w:top w:val="none" w:sz="0" w:space="0" w:color="auto"/>
                                                                                                                        <w:left w:val="none" w:sz="0" w:space="0" w:color="auto"/>
                                                                                                                        <w:bottom w:val="none" w:sz="0" w:space="0" w:color="auto"/>
                                                                                                                        <w:right w:val="none" w:sz="0" w:space="0" w:color="auto"/>
                                                                                                                      </w:divBdr>
                                                                                                                    </w:div>
                                                                                                                    <w:div w:id="2063208567">
                                                                                                                      <w:marLeft w:val="0"/>
                                                                                                                      <w:marRight w:val="0"/>
                                                                                                                      <w:marTop w:val="0"/>
                                                                                                                      <w:marBottom w:val="0"/>
                                                                                                                      <w:divBdr>
                                                                                                                        <w:top w:val="none" w:sz="0" w:space="0" w:color="auto"/>
                                                                                                                        <w:left w:val="none" w:sz="0" w:space="0" w:color="auto"/>
                                                                                                                        <w:bottom w:val="none" w:sz="0" w:space="0" w:color="auto"/>
                                                                                                                        <w:right w:val="none" w:sz="0" w:space="0" w:color="auto"/>
                                                                                                                      </w:divBdr>
                                                                                                                    </w:div>
                                                                                                                    <w:div w:id="697703910">
                                                                                                                      <w:marLeft w:val="0"/>
                                                                                                                      <w:marRight w:val="0"/>
                                                                                                                      <w:marTop w:val="0"/>
                                                                                                                      <w:marBottom w:val="0"/>
                                                                                                                      <w:divBdr>
                                                                                                                        <w:top w:val="none" w:sz="0" w:space="0" w:color="auto"/>
                                                                                                                        <w:left w:val="none" w:sz="0" w:space="0" w:color="auto"/>
                                                                                                                        <w:bottom w:val="none" w:sz="0" w:space="0" w:color="auto"/>
                                                                                                                        <w:right w:val="none" w:sz="0" w:space="0" w:color="auto"/>
                                                                                                                      </w:divBdr>
                                                                                                                    </w:div>
                                                                                                                    <w:div w:id="337655744">
                                                                                                                      <w:marLeft w:val="0"/>
                                                                                                                      <w:marRight w:val="0"/>
                                                                                                                      <w:marTop w:val="0"/>
                                                                                                                      <w:marBottom w:val="0"/>
                                                                                                                      <w:divBdr>
                                                                                                                        <w:top w:val="none" w:sz="0" w:space="0" w:color="auto"/>
                                                                                                                        <w:left w:val="none" w:sz="0" w:space="0" w:color="auto"/>
                                                                                                                        <w:bottom w:val="none" w:sz="0" w:space="0" w:color="auto"/>
                                                                                                                        <w:right w:val="none" w:sz="0" w:space="0" w:color="auto"/>
                                                                                                                      </w:divBdr>
                                                                                                                    </w:div>
                                                                                                                    <w:div w:id="1415085000">
                                                                                                                      <w:marLeft w:val="0"/>
                                                                                                                      <w:marRight w:val="0"/>
                                                                                                                      <w:marTop w:val="0"/>
                                                                                                                      <w:marBottom w:val="0"/>
                                                                                                                      <w:divBdr>
                                                                                                                        <w:top w:val="none" w:sz="0" w:space="0" w:color="auto"/>
                                                                                                                        <w:left w:val="none" w:sz="0" w:space="0" w:color="auto"/>
                                                                                                                        <w:bottom w:val="none" w:sz="0" w:space="0" w:color="auto"/>
                                                                                                                        <w:right w:val="none" w:sz="0" w:space="0" w:color="auto"/>
                                                                                                                      </w:divBdr>
                                                                                                                    </w:div>
                                                                                                                    <w:div w:id="1617249029">
                                                                                                                      <w:marLeft w:val="0"/>
                                                                                                                      <w:marRight w:val="0"/>
                                                                                                                      <w:marTop w:val="0"/>
                                                                                                                      <w:marBottom w:val="0"/>
                                                                                                                      <w:divBdr>
                                                                                                                        <w:top w:val="none" w:sz="0" w:space="0" w:color="auto"/>
                                                                                                                        <w:left w:val="none" w:sz="0" w:space="0" w:color="auto"/>
                                                                                                                        <w:bottom w:val="none" w:sz="0" w:space="0" w:color="auto"/>
                                                                                                                        <w:right w:val="none" w:sz="0" w:space="0" w:color="auto"/>
                                                                                                                      </w:divBdr>
                                                                                                                    </w:div>
                                                                                                                    <w:div w:id="1075710913">
                                                                                                                      <w:marLeft w:val="0"/>
                                                                                                                      <w:marRight w:val="0"/>
                                                                                                                      <w:marTop w:val="0"/>
                                                                                                                      <w:marBottom w:val="0"/>
                                                                                                                      <w:divBdr>
                                                                                                                        <w:top w:val="none" w:sz="0" w:space="0" w:color="auto"/>
                                                                                                                        <w:left w:val="none" w:sz="0" w:space="0" w:color="auto"/>
                                                                                                                        <w:bottom w:val="none" w:sz="0" w:space="0" w:color="auto"/>
                                                                                                                        <w:right w:val="none" w:sz="0" w:space="0" w:color="auto"/>
                                                                                                                      </w:divBdr>
                                                                                                                    </w:div>
                                                                                                                    <w:div w:id="14601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61998541">
      <w:bodyDiv w:val="1"/>
      <w:marLeft w:val="0"/>
      <w:marRight w:val="0"/>
      <w:marTop w:val="0"/>
      <w:marBottom w:val="0"/>
      <w:divBdr>
        <w:top w:val="none" w:sz="0" w:space="0" w:color="auto"/>
        <w:left w:val="none" w:sz="0" w:space="0" w:color="auto"/>
        <w:bottom w:val="none" w:sz="0" w:space="0" w:color="auto"/>
        <w:right w:val="none" w:sz="0" w:space="0" w:color="auto"/>
      </w:divBdr>
    </w:div>
    <w:div w:id="1704942634">
      <w:bodyDiv w:val="1"/>
      <w:marLeft w:val="0"/>
      <w:marRight w:val="0"/>
      <w:marTop w:val="0"/>
      <w:marBottom w:val="0"/>
      <w:divBdr>
        <w:top w:val="none" w:sz="0" w:space="0" w:color="auto"/>
        <w:left w:val="none" w:sz="0" w:space="0" w:color="auto"/>
        <w:bottom w:val="none" w:sz="0" w:space="0" w:color="auto"/>
        <w:right w:val="none" w:sz="0" w:space="0" w:color="auto"/>
      </w:divBdr>
    </w:div>
    <w:div w:id="1807308880">
      <w:bodyDiv w:val="1"/>
      <w:marLeft w:val="0"/>
      <w:marRight w:val="0"/>
      <w:marTop w:val="0"/>
      <w:marBottom w:val="0"/>
      <w:divBdr>
        <w:top w:val="none" w:sz="0" w:space="0" w:color="auto"/>
        <w:left w:val="none" w:sz="0" w:space="0" w:color="auto"/>
        <w:bottom w:val="none" w:sz="0" w:space="0" w:color="auto"/>
        <w:right w:val="none" w:sz="0" w:space="0" w:color="auto"/>
      </w:divBdr>
    </w:div>
    <w:div w:id="1949198110">
      <w:bodyDiv w:val="1"/>
      <w:marLeft w:val="0"/>
      <w:marRight w:val="0"/>
      <w:marTop w:val="0"/>
      <w:marBottom w:val="0"/>
      <w:divBdr>
        <w:top w:val="none" w:sz="0" w:space="0" w:color="auto"/>
        <w:left w:val="none" w:sz="0" w:space="0" w:color="auto"/>
        <w:bottom w:val="none" w:sz="0" w:space="0" w:color="auto"/>
        <w:right w:val="none" w:sz="0" w:space="0" w:color="auto"/>
      </w:divBdr>
    </w:div>
    <w:div w:id="1966034545">
      <w:bodyDiv w:val="1"/>
      <w:marLeft w:val="0"/>
      <w:marRight w:val="0"/>
      <w:marTop w:val="0"/>
      <w:marBottom w:val="0"/>
      <w:divBdr>
        <w:top w:val="none" w:sz="0" w:space="0" w:color="auto"/>
        <w:left w:val="none" w:sz="0" w:space="0" w:color="auto"/>
        <w:bottom w:val="none" w:sz="0" w:space="0" w:color="auto"/>
        <w:right w:val="none" w:sz="0" w:space="0" w:color="auto"/>
      </w:divBdr>
    </w:div>
    <w:div w:id="197278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www.census.gov/foreign-trade/aip/quality_profile10032014.pdf" TargetMode="External"/><Relationship Id="rId3" Type="http://schemas.openxmlformats.org/officeDocument/2006/relationships/customXml" Target="../customXml/item2.xml"/><Relationship Id="rId21" Type="http://schemas.openxmlformats.org/officeDocument/2006/relationships/hyperlink" Target="http://www.census.gov/foreign-trade/Press-Release/current_press_release/index.html" TargetMode="External"/><Relationship Id="rId34" Type="http://schemas.openxmlformats.org/officeDocument/2006/relationships/hyperlink" Target="https://www.bea.gov/API/signup/index.cfm"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mailto:eid.international.trade.data@census.gov" TargetMode="External"/><Relationship Id="rId33" Type="http://schemas.openxmlformats.org/officeDocument/2006/relationships/hyperlink" Target="https://www.census.gov/developers/" TargetMode="External"/><Relationship Id="rId38"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image" Target="media/image4.jpeg"/><Relationship Id="rId29" Type="http://schemas.openxmlformats.org/officeDocument/2006/relationships/hyperlink" Target="https://www.bea.gov/iTable/iTableHtml.cfm?reqid=62&amp;step=6&amp;isuri=1&amp;6210=1&amp;6200=48" TargetMode="Externa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24" Type="http://schemas.openxmlformats.org/officeDocument/2006/relationships/hyperlink" Target="https://www.bea.gov/newsreleases/news_release_schedule.htm" TargetMode="External"/><Relationship Id="rId32" Type="http://schemas.openxmlformats.org/officeDocument/2006/relationships/hyperlink" Target="https://www.bea.gov/newsreleases/international/trade/tradnewsrelease.htm" TargetMode="External"/><Relationship Id="rId37" Type="http://schemas.openxmlformats.org/officeDocument/2006/relationships/fontTable" Target="fontTable.xml"/><Relationship Id="rId5" Type="http://schemas.openxmlformats.org/officeDocument/2006/relationships/customXml" Target="../customXml/item4.xml"/><Relationship Id="rId15" Type="http://schemas.openxmlformats.org/officeDocument/2006/relationships/footer" Target="footer1.xml"/><Relationship Id="rId23" Type="http://schemas.openxmlformats.org/officeDocument/2006/relationships/hyperlink" Target="http://www.census.gov/economic-indicators/" TargetMode="External"/><Relationship Id="rId28" Type="http://schemas.openxmlformats.org/officeDocument/2006/relationships/hyperlink" Target="https://www.bea.gov/iTable/iTable.cfm?reqid=62&amp;step=9&amp;isuri=1&amp;6210=4" TargetMode="External"/><Relationship Id="rId36" Type="http://schemas.openxmlformats.org/officeDocument/2006/relationships/hyperlink" Target="https://fred.stlouisfed.org/fred-mobile/index.php?utm_source=census&amp;utm_medium=pdf&amp;utm_campaign=mobile_app" TargetMode="External"/><Relationship Id="rId10" Type="http://schemas.openxmlformats.org/officeDocument/2006/relationships/webSettings" Target="webSettings.xml"/><Relationship Id="rId19" Type="http://schemas.openxmlformats.org/officeDocument/2006/relationships/image" Target="media/image3.png"/><Relationship Id="rId31" Type="http://schemas.openxmlformats.org/officeDocument/2006/relationships/hyperlink" Target="https://www.census.gov/ft900" TargetMode="Externa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https://www.bea.gov/newsreleases/international/trade/tradnewsrelease.htm" TargetMode="External"/><Relationship Id="rId27" Type="http://schemas.openxmlformats.org/officeDocument/2006/relationships/hyperlink" Target="https://www.bea.gov/scb/index.htm" TargetMode="External"/><Relationship Id="rId30" Type="http://schemas.openxmlformats.org/officeDocument/2006/relationships/hyperlink" Target="https://www.bea.gov/scb/pdf/2008/05%20May/0508_methods.pdf" TargetMode="External"/><Relationship Id="rId35" Type="http://schemas.openxmlformats.org/officeDocument/2006/relationships/image" Target="media/image5.jpeg"/></Relationships>
</file>

<file path=word/_rels/footer2.xml.rels><?xml version="1.0" encoding="UTF-8" standalone="yes"?>
<Relationships xmlns="http://schemas.openxmlformats.org/package/2006/relationships"><Relationship Id="rId3" Type="http://schemas.openxmlformats.org/officeDocument/2006/relationships/hyperlink" Target="mailto:InternationalAccounts@bea.gov" TargetMode="External"/><Relationship Id="rId2" Type="http://schemas.openxmlformats.org/officeDocument/2006/relationships/hyperlink" Target="http://www.census.gov/manufacturing/m3" TargetMode="External"/><Relationship Id="rId1" Type="http://schemas.openxmlformats.org/officeDocument/2006/relationships/hyperlink" Target="mailto:eid.international.trade.data@census.gov" TargetMode="External"/><Relationship Id="rId5" Type="http://schemas.openxmlformats.org/officeDocument/2006/relationships/image" Target="media/image2.pn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53CA223-AFDD-45FE-857B-D99B65785795}">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8D10C07BF10E45A5750F42D95719FD" ma:contentTypeVersion="19" ma:contentTypeDescription="Create a new document." ma:contentTypeScope="" ma:versionID="73736f085d270f388ec939c1158a1672">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11/19/2015 11:08:58 PM</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11/19/2015 11:08:58 PM</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11/19/2015 11:08:58 PM</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6247B-33F3-4576-97A8-021954BFA7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B5C5D82-4BA1-4476-9BB5-2ECF5CB23216}">
  <ds:schemaRefs>
    <ds:schemaRef ds:uri="http://schemas.microsoft.com/sharepoint/events"/>
  </ds:schemaRefs>
</ds:datastoreItem>
</file>

<file path=customXml/itemProps3.xml><?xml version="1.0" encoding="utf-8"?>
<ds:datastoreItem xmlns:ds="http://schemas.openxmlformats.org/officeDocument/2006/customXml" ds:itemID="{E39479DD-8E46-498B-A4A3-90D758419368}">
  <ds:schemaRefs>
    <ds:schemaRef ds:uri="http://schemas.microsoft.com/sharepoint/v3/contenttype/forms"/>
  </ds:schemaRefs>
</ds:datastoreItem>
</file>

<file path=customXml/itemProps4.xml><?xml version="1.0" encoding="utf-8"?>
<ds:datastoreItem xmlns:ds="http://schemas.openxmlformats.org/officeDocument/2006/customXml" ds:itemID="{2D367E6F-578F-4F4D-A909-03B8AB263DCA}">
  <ds:schemaRefs>
    <ds:schemaRef ds:uri="http://schemas.microsoft.com/office/2006/metadata/properties"/>
    <ds:schemaRef ds:uri="http://purl.org/dc/terms/"/>
    <ds:schemaRef ds:uri="http://purl.org/dc/elements/1.1/"/>
    <ds:schemaRef ds:uri="http://www.w3.org/XML/1998/namespace"/>
    <ds:schemaRef ds:uri="http://purl.org/dc/dcmitype/"/>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5.xml><?xml version="1.0" encoding="utf-8"?>
<ds:datastoreItem xmlns:ds="http://schemas.openxmlformats.org/officeDocument/2006/customXml" ds:itemID="{0D6D7B70-7108-43CE-BFBD-F1205B9CD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5F793F81</Template>
  <TotalTime>143</TotalTime>
  <Pages>17</Pages>
  <Words>6317</Words>
  <Characters>36011</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U.S. Department of Commerce</Company>
  <LinksUpToDate>false</LinksUpToDate>
  <CharactersWithSpaces>42244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Joseph E Kafchinski</dc:creator>
  <cp:lastModifiedBy>Henock Kebede (CENSUS/EID FED)</cp:lastModifiedBy>
  <cp:revision>21</cp:revision>
  <cp:lastPrinted>2018-08-02T13:41:00Z</cp:lastPrinted>
  <dcterms:created xsi:type="dcterms:W3CDTF">2018-08-01T13:19:00Z</dcterms:created>
  <dcterms:modified xsi:type="dcterms:W3CDTF">2018-08-02T13:42:00Z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0x010100B88D10C07BF10E45A5750F42D95719FD</vt:lpwstr>
  </property>
  <property fmtid="{D5CDD505-2E9C-101B-9397-08002B2CF9AE}" pid="3" name="_AdHocReviewCycleID">
    <vt:i4>486907600</vt:i4>
  </property>
  <property fmtid="{D5CDD505-2E9C-101B-9397-08002B2CF9AE}" pid="4" name="_NewReviewCycle">
    <vt:lpwstr/>
  </property>
  <property fmtid="{D5CDD505-2E9C-101B-9397-08002B2CF9AE}" pid="5" name="_EmailSubject">
    <vt:lpwstr>FT-900 Release Standardization</vt:lpwstr>
  </property>
  <property fmtid="{D5CDD505-2E9C-101B-9397-08002B2CF9AE}" pid="6" name="_AuthorEmail">
    <vt:lpwstr>Mai-Chi.Hoang@bea.gov</vt:lpwstr>
  </property>
  <property fmtid="{D5CDD505-2E9C-101B-9397-08002B2CF9AE}" pid="7" name="_AuthorEmailDisplayName">
    <vt:lpwstr>Hoang, Mai-Chi</vt:lpwstr>
  </property>
  <property fmtid="{D5CDD505-2E9C-101B-9397-08002B2CF9AE}" pid="8" name="_PreviousAdHocReviewCycleID">
    <vt:i4>-1189352728</vt:i4>
  </property>
  <property fmtid="{D5CDD505-2E9C-101B-9397-08002B2CF9AE}" pid="9" name="_ReviewingToolsShownOnce">
    <vt:lpwstr/>
  </property>
</Properties>
</file>