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E91BE" w14:textId="1940BCF1" w:rsidR="000C0B5C" w:rsidRPr="00A07FF1" w:rsidRDefault="000C0B5C" w:rsidP="00E53A3F">
      <w:pPr>
        <w:spacing w:after="240" w:line="240" w:lineRule="auto"/>
        <w:rPr>
          <w:rFonts w:cstheme="minorHAnsi"/>
          <w:b/>
        </w:rPr>
      </w:pPr>
      <w:bookmarkStart w:id="0" w:name="_GoBack"/>
      <w:bookmarkEnd w:id="0"/>
      <w:r w:rsidRPr="00A07FF1">
        <w:rPr>
          <w:rFonts w:cstheme="minorHAnsi"/>
          <w:b/>
        </w:rPr>
        <w:t>FOR RELEA</w:t>
      </w:r>
      <w:r w:rsidR="00A95685" w:rsidRPr="00A07FF1">
        <w:rPr>
          <w:rFonts w:cstheme="minorHAnsi"/>
          <w:b/>
        </w:rPr>
        <w:t>SE AT 8:30 AM</w:t>
      </w:r>
      <w:r w:rsidR="003E3755" w:rsidRPr="00A07FF1">
        <w:rPr>
          <w:rFonts w:cstheme="minorHAnsi"/>
          <w:b/>
        </w:rPr>
        <w:t xml:space="preserve"> </w:t>
      </w:r>
      <w:r w:rsidR="007D6D0D" w:rsidRPr="007D6D0D">
        <w:rPr>
          <w:rFonts w:cstheme="minorHAnsi"/>
          <w:b/>
        </w:rPr>
        <w:t xml:space="preserve">EST, </w:t>
      </w:r>
      <w:r w:rsidR="007D6D0D" w:rsidRPr="006053CB">
        <w:rPr>
          <w:rFonts w:cstheme="minorHAnsi"/>
          <w:b/>
        </w:rPr>
        <w:t>WEDNESDAY, FEBRUARY 5, 2020</w:t>
      </w:r>
      <w:r w:rsidR="00E737BF" w:rsidRPr="00A07FF1">
        <w:rPr>
          <w:rFonts w:cstheme="minorHAnsi"/>
          <w:b/>
        </w:rPr>
        <w:t xml:space="preserve"> </w:t>
      </w:r>
    </w:p>
    <w:p w14:paraId="5B9C1ECB" w14:textId="72151045" w:rsidR="003E3755" w:rsidRPr="00A07FF1" w:rsidRDefault="00F65176" w:rsidP="00E53A3F">
      <w:pPr>
        <w:spacing w:after="240" w:line="240" w:lineRule="auto"/>
        <w:rPr>
          <w:rFonts w:cstheme="minorHAnsi"/>
          <w:b/>
          <w:sz w:val="28"/>
          <w:szCs w:val="28"/>
        </w:rPr>
      </w:pPr>
      <w:r w:rsidRPr="00A07FF1">
        <w:rPr>
          <w:rFonts w:cstheme="minorHAnsi"/>
          <w:b/>
          <w:color w:val="000000" w:themeColor="text1"/>
          <w:sz w:val="28"/>
          <w:szCs w:val="28"/>
        </w:rPr>
        <w:t>MONTHLY</w:t>
      </w:r>
      <w:r w:rsidRPr="00A07FF1">
        <w:rPr>
          <w:rFonts w:cstheme="minorHAnsi"/>
          <w:b/>
          <w:sz w:val="28"/>
          <w:szCs w:val="28"/>
        </w:rPr>
        <w:t xml:space="preserve"> </w:t>
      </w:r>
      <w:r w:rsidR="00FB4D77" w:rsidRPr="00A07FF1">
        <w:rPr>
          <w:rFonts w:cstheme="minorHAnsi"/>
          <w:b/>
          <w:sz w:val="28"/>
          <w:szCs w:val="28"/>
        </w:rPr>
        <w:t>U.S. INTERNATIONAL TRADE IN GOODS AND SERVICES,</w:t>
      </w:r>
      <w:r w:rsidR="003F4F1C" w:rsidRPr="00A07FF1">
        <w:rPr>
          <w:rFonts w:cstheme="minorHAnsi"/>
          <w:b/>
          <w:sz w:val="28"/>
          <w:szCs w:val="28"/>
        </w:rPr>
        <w:t xml:space="preserve"> </w:t>
      </w:r>
      <w:r w:rsidR="007D6D0D" w:rsidRPr="007D6D0D">
        <w:rPr>
          <w:rFonts w:cstheme="minorHAnsi"/>
          <w:b/>
          <w:sz w:val="28"/>
          <w:szCs w:val="28"/>
        </w:rPr>
        <w:t>DECEMBER 2019</w:t>
      </w:r>
    </w:p>
    <w:p w14:paraId="2AB68F0B" w14:textId="4D77C776" w:rsidR="00D62B44" w:rsidRPr="00A07FF1" w:rsidRDefault="00071CE7" w:rsidP="00881017">
      <w:pPr>
        <w:spacing w:after="120" w:line="240" w:lineRule="auto"/>
        <w:rPr>
          <w:rFonts w:cstheme="minorHAnsi"/>
          <w:b/>
          <w:sz w:val="28"/>
          <w:szCs w:val="28"/>
        </w:rPr>
        <w:sectPr w:rsidR="00D62B44" w:rsidRPr="00A07FF1" w:rsidSect="006D715D">
          <w:headerReference w:type="even" r:id="rId13"/>
          <w:headerReference w:type="default" r:id="rId14"/>
          <w:footerReference w:type="even" r:id="rId15"/>
          <w:footerReference w:type="default" r:id="rId16"/>
          <w:headerReference w:type="first" r:id="rId17"/>
          <w:footerReference w:type="first" r:id="rId18"/>
          <w:pgSz w:w="12240" w:h="15840"/>
          <w:pgMar w:top="450" w:right="720" w:bottom="720" w:left="720" w:header="720" w:footer="432" w:gutter="0"/>
          <w:cols w:space="720"/>
          <w:docGrid w:linePitch="360"/>
        </w:sectPr>
      </w:pPr>
      <w:r w:rsidRPr="00A07FF1">
        <w:rPr>
          <w:rFonts w:cstheme="minorHAnsi"/>
          <w:sz w:val="24"/>
          <w:szCs w:val="24"/>
        </w:rPr>
        <w:t>Releas</w:t>
      </w:r>
      <w:r w:rsidR="000065B4" w:rsidRPr="00A07FF1">
        <w:rPr>
          <w:rFonts w:cstheme="minorHAnsi"/>
          <w:sz w:val="24"/>
          <w:szCs w:val="24"/>
        </w:rPr>
        <w:t>e Number: CB</w:t>
      </w:r>
      <w:r w:rsidR="00035B89" w:rsidRPr="00A07FF1">
        <w:rPr>
          <w:rFonts w:cstheme="minorHAnsi"/>
          <w:sz w:val="24"/>
          <w:szCs w:val="24"/>
        </w:rPr>
        <w:t xml:space="preserve"> </w:t>
      </w:r>
      <w:r w:rsidR="000F30C0">
        <w:rPr>
          <w:rFonts w:cstheme="minorHAnsi"/>
          <w:sz w:val="24"/>
          <w:szCs w:val="24"/>
        </w:rPr>
        <w:t>20</w:t>
      </w:r>
      <w:r w:rsidR="008C1269">
        <w:rPr>
          <w:rFonts w:cstheme="minorHAnsi"/>
          <w:sz w:val="24"/>
          <w:szCs w:val="24"/>
        </w:rPr>
        <w:t>-</w:t>
      </w:r>
      <w:r w:rsidR="00F3383A">
        <w:rPr>
          <w:rFonts w:cstheme="minorHAnsi"/>
          <w:sz w:val="24"/>
          <w:szCs w:val="24"/>
        </w:rPr>
        <w:t>19</w:t>
      </w:r>
      <w:r w:rsidR="006D398D" w:rsidRPr="00A07FF1">
        <w:rPr>
          <w:rFonts w:cstheme="minorHAnsi"/>
          <w:sz w:val="24"/>
          <w:szCs w:val="24"/>
        </w:rPr>
        <w:t>,</w:t>
      </w:r>
      <w:r w:rsidR="008E7877" w:rsidRPr="00A07FF1">
        <w:rPr>
          <w:rFonts w:cstheme="minorHAnsi"/>
          <w:sz w:val="24"/>
          <w:szCs w:val="24"/>
        </w:rPr>
        <w:t xml:space="preserve"> </w:t>
      </w:r>
      <w:r w:rsidR="002C4C11" w:rsidRPr="00CA0904">
        <w:rPr>
          <w:rFonts w:cstheme="minorHAnsi"/>
          <w:color w:val="000000" w:themeColor="text1"/>
          <w:sz w:val="24"/>
          <w:szCs w:val="24"/>
        </w:rPr>
        <w:t>BEA</w:t>
      </w:r>
      <w:r w:rsidR="008C1269" w:rsidRPr="00CA0904">
        <w:rPr>
          <w:rFonts w:cstheme="minorHAnsi"/>
          <w:color w:val="000000" w:themeColor="text1"/>
          <w:sz w:val="24"/>
          <w:szCs w:val="24"/>
        </w:rPr>
        <w:t xml:space="preserve"> </w:t>
      </w:r>
      <w:r w:rsidR="00CA0904" w:rsidRPr="00CA0904">
        <w:rPr>
          <w:rFonts w:cstheme="minorHAnsi"/>
          <w:color w:val="000000" w:themeColor="text1"/>
          <w:sz w:val="24"/>
          <w:szCs w:val="24"/>
        </w:rPr>
        <w:t>20-06</w:t>
      </w:r>
    </w:p>
    <w:p w14:paraId="48307893" w14:textId="52A65742" w:rsidR="00F65176" w:rsidRPr="00A07FF1" w:rsidRDefault="007D6D0D" w:rsidP="00881017">
      <w:pPr>
        <w:spacing w:after="120"/>
        <w:ind w:left="-360"/>
        <w:rPr>
          <w:rFonts w:cstheme="minorHAnsi"/>
          <w:sz w:val="24"/>
          <w:szCs w:val="24"/>
        </w:rPr>
      </w:pPr>
      <w:r w:rsidRPr="007D6D0D">
        <w:rPr>
          <w:rFonts w:cstheme="minorHAnsi"/>
          <w:b/>
          <w:sz w:val="24"/>
          <w:szCs w:val="24"/>
        </w:rPr>
        <w:t>FEBRUARY</w:t>
      </w:r>
      <w:r w:rsidRPr="007D6D0D">
        <w:rPr>
          <w:b/>
        </w:rPr>
        <w:t xml:space="preserve"> </w:t>
      </w:r>
      <w:r w:rsidRPr="007D6D0D">
        <w:rPr>
          <w:b/>
          <w:sz w:val="24"/>
          <w:szCs w:val="24"/>
        </w:rPr>
        <w:t>5, 2020</w:t>
      </w:r>
      <w:r w:rsidR="00FA78EE" w:rsidRPr="00A07FF1">
        <w:rPr>
          <w:rFonts w:cstheme="minorHAnsi"/>
          <w:b/>
          <w:sz w:val="24"/>
          <w:szCs w:val="24"/>
        </w:rPr>
        <w:t xml:space="preserve"> </w:t>
      </w:r>
      <w:r w:rsidR="00FA78EE" w:rsidRPr="00A07FF1">
        <w:rPr>
          <w:rFonts w:cstheme="minorHAnsi"/>
          <w:sz w:val="24"/>
          <w:szCs w:val="24"/>
        </w:rPr>
        <w:t>—</w:t>
      </w:r>
      <w:r w:rsidR="00FA78EE" w:rsidRPr="00A07FF1">
        <w:rPr>
          <w:rFonts w:cstheme="minorHAnsi"/>
          <w:b/>
          <w:sz w:val="24"/>
          <w:szCs w:val="24"/>
        </w:rPr>
        <w:t xml:space="preserve"> </w:t>
      </w:r>
      <w:r w:rsidRPr="007D6D0D">
        <w:rPr>
          <w:rFonts w:cstheme="minorHAnsi"/>
          <w:sz w:val="24"/>
          <w:szCs w:val="24"/>
        </w:rPr>
        <w:t xml:space="preserve">The U.S. Census Bureau and the U.S. Bureau of Economic Analysis announced today that the goods and services deficit was $48.9 billion in December, up $5.2 billion from $43.7 billion in November, revised. </w:t>
      </w:r>
      <w:r w:rsidR="00B00512" w:rsidRPr="00A07FF1">
        <w:rPr>
          <w:rFonts w:cstheme="minorHAnsi"/>
          <w:sz w:val="24"/>
          <w:szCs w:val="24"/>
        </w:rPr>
        <w:br/>
      </w:r>
    </w:p>
    <w:tbl>
      <w:tblPr>
        <w:tblStyle w:val="TableGrid"/>
        <w:tblpPr w:leftFromText="180" w:rightFromText="180" w:vertAnchor="text" w:tblpX="-275" w:tblpY="1"/>
        <w:tblOverlap w:val="never"/>
        <w:tblW w:w="0" w:type="auto"/>
        <w:tblLayout w:type="fixed"/>
        <w:tblCellMar>
          <w:top w:w="144" w:type="dxa"/>
          <w:left w:w="144" w:type="dxa"/>
          <w:right w:w="144" w:type="dxa"/>
        </w:tblCellMar>
        <w:tblLook w:val="04A0" w:firstRow="1" w:lastRow="0" w:firstColumn="1" w:lastColumn="0" w:noHBand="0" w:noVBand="1"/>
      </w:tblPr>
      <w:tblGrid>
        <w:gridCol w:w="1917"/>
        <w:gridCol w:w="1871"/>
        <w:gridCol w:w="960"/>
      </w:tblGrid>
      <w:tr w:rsidR="003D3D66" w:rsidRPr="00A07FF1" w14:paraId="20DCAF20" w14:textId="77777777" w:rsidTr="00097BA5">
        <w:trPr>
          <w:trHeight w:val="482"/>
        </w:trPr>
        <w:tc>
          <w:tcPr>
            <w:tcW w:w="4748" w:type="dxa"/>
            <w:gridSpan w:val="3"/>
            <w:tcBorders>
              <w:top w:val="single" w:sz="4" w:space="0" w:color="auto"/>
              <w:left w:val="single" w:sz="4" w:space="0" w:color="auto"/>
              <w:bottom w:val="nil"/>
              <w:right w:val="single" w:sz="4" w:space="0" w:color="auto"/>
            </w:tcBorders>
            <w:shd w:val="clear" w:color="auto" w:fill="DBE5F1" w:themeFill="accent1" w:themeFillTint="33"/>
            <w:vAlign w:val="center"/>
          </w:tcPr>
          <w:p w14:paraId="12F9576B" w14:textId="68A86101" w:rsidR="002C4C11" w:rsidRPr="00A07FF1" w:rsidRDefault="002C4C11" w:rsidP="007E0EDC">
            <w:pPr>
              <w:jc w:val="center"/>
              <w:rPr>
                <w:rFonts w:cstheme="minorHAnsi"/>
                <w:b/>
                <w:sz w:val="20"/>
              </w:rPr>
            </w:pPr>
            <w:r w:rsidRPr="00A07FF1">
              <w:rPr>
                <w:rFonts w:cstheme="minorHAnsi"/>
                <w:b/>
                <w:noProof/>
                <w:sz w:val="20"/>
              </w:rPr>
              <w:drawing>
                <wp:anchor distT="0" distB="0" distL="114300" distR="114300" simplePos="0" relativeHeight="251660288" behindDoc="0" locked="0" layoutInCell="1" allowOverlap="1" wp14:anchorId="1C0867CB" wp14:editId="4D372E82">
                  <wp:simplePos x="0" y="0"/>
                  <wp:positionH relativeFrom="column">
                    <wp:posOffset>-44831</wp:posOffset>
                  </wp:positionH>
                  <wp:positionV relativeFrom="paragraph">
                    <wp:posOffset>-65736</wp:posOffset>
                  </wp:positionV>
                  <wp:extent cx="375401" cy="33722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ss.png"/>
                          <pic:cNvPicPr/>
                        </pic:nvPicPr>
                        <pic:blipFill>
                          <a:blip r:embed="rId19">
                            <a:extLst>
                              <a:ext uri="{28A0092B-C50C-407E-A947-70E740481C1C}">
                                <a14:useLocalDpi xmlns:a14="http://schemas.microsoft.com/office/drawing/2010/main" val="0"/>
                              </a:ext>
                            </a:extLst>
                          </a:blip>
                          <a:stretch>
                            <a:fillRect/>
                          </a:stretch>
                        </pic:blipFill>
                        <pic:spPr>
                          <a:xfrm>
                            <a:off x="0" y="0"/>
                            <a:ext cx="375401" cy="337225"/>
                          </a:xfrm>
                          <a:prstGeom prst="rect">
                            <a:avLst/>
                          </a:prstGeom>
                        </pic:spPr>
                      </pic:pic>
                    </a:graphicData>
                  </a:graphic>
                  <wp14:sizeRelH relativeFrom="page">
                    <wp14:pctWidth>0</wp14:pctWidth>
                  </wp14:sizeRelH>
                  <wp14:sizeRelV relativeFrom="page">
                    <wp14:pctHeight>0</wp14:pctHeight>
                  </wp14:sizeRelV>
                </wp:anchor>
              </w:drawing>
            </w:r>
            <w:r w:rsidRPr="00A07FF1">
              <w:rPr>
                <w:rFonts w:cstheme="minorHAnsi"/>
                <w:b/>
                <w:sz w:val="20"/>
              </w:rPr>
              <w:t xml:space="preserve">U.S. INTERNATIONAL TRADE IN </w:t>
            </w:r>
          </w:p>
          <w:p w14:paraId="585C0BE4" w14:textId="11E7DEB3" w:rsidR="003D3D66" w:rsidRPr="00A07FF1" w:rsidRDefault="002C4C11" w:rsidP="007E0EDC">
            <w:pPr>
              <w:jc w:val="center"/>
              <w:rPr>
                <w:rFonts w:cstheme="minorHAnsi"/>
                <w:b/>
                <w:sz w:val="20"/>
              </w:rPr>
            </w:pPr>
            <w:r w:rsidRPr="00A07FF1">
              <w:rPr>
                <w:rFonts w:cstheme="minorHAnsi"/>
                <w:b/>
                <w:sz w:val="20"/>
              </w:rPr>
              <w:t>GOODS AND SERVICES</w:t>
            </w:r>
            <w:r w:rsidR="002768BE" w:rsidRPr="00A07FF1">
              <w:rPr>
                <w:rFonts w:cstheme="minorHAnsi"/>
                <w:b/>
                <w:sz w:val="20"/>
              </w:rPr>
              <w:t xml:space="preserve"> DEF</w:t>
            </w:r>
            <w:r w:rsidR="001E65B9" w:rsidRPr="00A07FF1">
              <w:rPr>
                <w:rFonts w:cstheme="minorHAnsi"/>
                <w:b/>
                <w:sz w:val="20"/>
              </w:rPr>
              <w:t>I</w:t>
            </w:r>
            <w:r w:rsidR="002768BE" w:rsidRPr="00A07FF1">
              <w:rPr>
                <w:rFonts w:cstheme="minorHAnsi"/>
                <w:b/>
                <w:sz w:val="20"/>
              </w:rPr>
              <w:t>CIT</w:t>
            </w:r>
          </w:p>
          <w:p w14:paraId="7C2E8CCE" w14:textId="399B95A2" w:rsidR="00EC5947" w:rsidRPr="00A07FF1" w:rsidRDefault="00EC5947" w:rsidP="007E0EDC">
            <w:pPr>
              <w:jc w:val="center"/>
              <w:rPr>
                <w:rFonts w:cstheme="minorHAnsi"/>
                <w:b/>
              </w:rPr>
            </w:pPr>
          </w:p>
        </w:tc>
      </w:tr>
      <w:tr w:rsidR="003D3D66" w:rsidRPr="00A07FF1" w14:paraId="7C244430" w14:textId="77777777" w:rsidTr="00097BA5">
        <w:trPr>
          <w:trHeight w:val="94"/>
        </w:trPr>
        <w:tc>
          <w:tcPr>
            <w:tcW w:w="1917" w:type="dxa"/>
            <w:tcBorders>
              <w:top w:val="nil"/>
              <w:left w:val="single" w:sz="4" w:space="0" w:color="auto"/>
              <w:bottom w:val="nil"/>
              <w:right w:val="nil"/>
            </w:tcBorders>
            <w:vAlign w:val="center"/>
          </w:tcPr>
          <w:p w14:paraId="4D3734DE" w14:textId="3DAC0BD5" w:rsidR="003D3D66" w:rsidRPr="00A07FF1" w:rsidRDefault="0092461B" w:rsidP="007E0EDC">
            <w:pPr>
              <w:rPr>
                <w:rFonts w:cstheme="minorHAnsi"/>
                <w:b/>
                <w:sz w:val="16"/>
                <w:szCs w:val="17"/>
              </w:rPr>
            </w:pPr>
            <w:r w:rsidRPr="00A07FF1">
              <w:rPr>
                <w:rFonts w:cstheme="minorHAnsi"/>
                <w:b/>
                <w:sz w:val="16"/>
                <w:szCs w:val="17"/>
              </w:rPr>
              <w:t xml:space="preserve">            </w:t>
            </w:r>
            <w:r w:rsidR="00B87945">
              <w:rPr>
                <w:rFonts w:cstheme="minorHAnsi"/>
                <w:b/>
                <w:sz w:val="16"/>
                <w:szCs w:val="17"/>
              </w:rPr>
              <w:t xml:space="preserve">   </w:t>
            </w:r>
            <w:r w:rsidR="005B1D76" w:rsidRPr="00A07FF1">
              <w:rPr>
                <w:rFonts w:cstheme="minorHAnsi"/>
                <w:b/>
                <w:sz w:val="16"/>
                <w:szCs w:val="17"/>
              </w:rPr>
              <w:t>Deficit:</w:t>
            </w:r>
          </w:p>
        </w:tc>
        <w:tc>
          <w:tcPr>
            <w:tcW w:w="1871" w:type="dxa"/>
            <w:tcBorders>
              <w:top w:val="nil"/>
              <w:left w:val="nil"/>
              <w:bottom w:val="nil"/>
              <w:right w:val="nil"/>
            </w:tcBorders>
            <w:vAlign w:val="center"/>
          </w:tcPr>
          <w:p w14:paraId="59F4051C" w14:textId="241D40D5" w:rsidR="003D3D66" w:rsidRPr="00A07FF1" w:rsidRDefault="002C4C11" w:rsidP="007E0EDC">
            <w:pPr>
              <w:rPr>
                <w:rFonts w:cstheme="minorHAnsi"/>
                <w:b/>
                <w:sz w:val="16"/>
                <w:szCs w:val="17"/>
              </w:rPr>
            </w:pPr>
            <w:r w:rsidRPr="00A07FF1">
              <w:rPr>
                <w:rFonts w:cstheme="minorHAnsi"/>
                <w:b/>
                <w:sz w:val="16"/>
                <w:szCs w:val="17"/>
              </w:rPr>
              <w:t>$</w:t>
            </w:r>
            <w:r w:rsidR="007D6D0D" w:rsidRPr="007D6D0D">
              <w:rPr>
                <w:rFonts w:cstheme="minorHAnsi"/>
                <w:b/>
                <w:sz w:val="16"/>
                <w:szCs w:val="17"/>
              </w:rPr>
              <w:t>48.9</w:t>
            </w:r>
            <w:r w:rsidRPr="00A07FF1">
              <w:rPr>
                <w:rFonts w:cstheme="minorHAnsi"/>
                <w:b/>
                <w:sz w:val="16"/>
                <w:szCs w:val="17"/>
              </w:rPr>
              <w:t xml:space="preserve"> Billion</w:t>
            </w:r>
          </w:p>
        </w:tc>
        <w:tc>
          <w:tcPr>
            <w:tcW w:w="959" w:type="dxa"/>
            <w:tcBorders>
              <w:top w:val="nil"/>
              <w:left w:val="nil"/>
              <w:bottom w:val="nil"/>
              <w:right w:val="single" w:sz="4" w:space="0" w:color="auto"/>
            </w:tcBorders>
          </w:tcPr>
          <w:p w14:paraId="0174E28F" w14:textId="6D0A24C1" w:rsidR="003D3D66" w:rsidRPr="00A07FF1" w:rsidRDefault="007D6D0D" w:rsidP="007E0EDC">
            <w:pPr>
              <w:rPr>
                <w:rFonts w:cstheme="minorHAnsi"/>
                <w:b/>
                <w:sz w:val="18"/>
                <w:szCs w:val="18"/>
              </w:rPr>
            </w:pPr>
            <w:r w:rsidRPr="007D6D0D">
              <w:rPr>
                <w:rFonts w:cstheme="minorHAnsi"/>
                <w:b/>
                <w:sz w:val="16"/>
                <w:szCs w:val="17"/>
              </w:rPr>
              <w:t>+11.9</w:t>
            </w:r>
            <w:r w:rsidR="00161BE7" w:rsidRPr="00A07FF1">
              <w:rPr>
                <w:rFonts w:eastAsiaTheme="minorEastAsia" w:cstheme="minorHAnsi"/>
                <w:b/>
                <w:bCs/>
                <w:color w:val="000000"/>
                <w:sz w:val="16"/>
                <w:szCs w:val="16"/>
              </w:rPr>
              <w:t>%°</w:t>
            </w:r>
          </w:p>
        </w:tc>
      </w:tr>
      <w:tr w:rsidR="005B1D76" w:rsidRPr="00A07FF1" w14:paraId="18AD0A90" w14:textId="77777777" w:rsidTr="00097BA5">
        <w:trPr>
          <w:trHeight w:val="158"/>
        </w:trPr>
        <w:tc>
          <w:tcPr>
            <w:tcW w:w="1917" w:type="dxa"/>
            <w:tcBorders>
              <w:top w:val="nil"/>
              <w:left w:val="single" w:sz="4" w:space="0" w:color="auto"/>
              <w:bottom w:val="nil"/>
              <w:right w:val="nil"/>
            </w:tcBorders>
            <w:vAlign w:val="center"/>
          </w:tcPr>
          <w:p w14:paraId="02356B51" w14:textId="50C1494A" w:rsidR="005B1D76" w:rsidRPr="00A07FF1" w:rsidRDefault="005B1D76" w:rsidP="007E0EDC">
            <w:pPr>
              <w:jc w:val="center"/>
              <w:rPr>
                <w:rFonts w:cstheme="minorHAnsi"/>
                <w:b/>
                <w:sz w:val="16"/>
                <w:szCs w:val="17"/>
              </w:rPr>
            </w:pPr>
            <w:r w:rsidRPr="00A07FF1">
              <w:rPr>
                <w:rFonts w:cstheme="minorHAnsi"/>
                <w:b/>
                <w:sz w:val="16"/>
                <w:szCs w:val="17"/>
              </w:rPr>
              <w:t>Exports:</w:t>
            </w:r>
          </w:p>
        </w:tc>
        <w:tc>
          <w:tcPr>
            <w:tcW w:w="1871" w:type="dxa"/>
            <w:tcBorders>
              <w:top w:val="nil"/>
              <w:left w:val="nil"/>
              <w:bottom w:val="nil"/>
              <w:right w:val="nil"/>
            </w:tcBorders>
            <w:vAlign w:val="center"/>
          </w:tcPr>
          <w:p w14:paraId="5662B500" w14:textId="24868FC3" w:rsidR="005B1D76" w:rsidRPr="00A07FF1" w:rsidRDefault="005B1D76" w:rsidP="007E0EDC">
            <w:pPr>
              <w:rPr>
                <w:rFonts w:cstheme="minorHAnsi"/>
                <w:b/>
                <w:sz w:val="16"/>
                <w:szCs w:val="17"/>
              </w:rPr>
            </w:pPr>
            <w:r w:rsidRPr="00A07FF1">
              <w:rPr>
                <w:rFonts w:cstheme="minorHAnsi"/>
                <w:b/>
                <w:sz w:val="16"/>
                <w:szCs w:val="17"/>
              </w:rPr>
              <w:t>$</w:t>
            </w:r>
            <w:r w:rsidR="007D6D0D" w:rsidRPr="007D6D0D">
              <w:rPr>
                <w:rFonts w:cstheme="minorHAnsi"/>
                <w:b/>
                <w:sz w:val="16"/>
                <w:szCs w:val="17"/>
              </w:rPr>
              <w:t>209.6</w:t>
            </w:r>
            <w:r w:rsidRPr="00A07FF1">
              <w:rPr>
                <w:rFonts w:cstheme="minorHAnsi"/>
                <w:b/>
                <w:sz w:val="16"/>
                <w:szCs w:val="17"/>
              </w:rPr>
              <w:t xml:space="preserve"> Billion</w:t>
            </w:r>
          </w:p>
        </w:tc>
        <w:tc>
          <w:tcPr>
            <w:tcW w:w="959" w:type="dxa"/>
            <w:tcBorders>
              <w:top w:val="nil"/>
              <w:left w:val="nil"/>
              <w:bottom w:val="nil"/>
              <w:right w:val="single" w:sz="4" w:space="0" w:color="auto"/>
            </w:tcBorders>
          </w:tcPr>
          <w:p w14:paraId="23C6B225" w14:textId="5C68BBC4" w:rsidR="005B1D76" w:rsidRPr="00A07FF1" w:rsidRDefault="007D6D0D" w:rsidP="007E0EDC">
            <w:pPr>
              <w:rPr>
                <w:rFonts w:cstheme="minorHAnsi"/>
                <w:sz w:val="16"/>
                <w:szCs w:val="18"/>
              </w:rPr>
            </w:pPr>
            <w:r w:rsidRPr="007D6D0D">
              <w:rPr>
                <w:rFonts w:cstheme="minorHAnsi"/>
                <w:b/>
                <w:sz w:val="16"/>
                <w:szCs w:val="17"/>
              </w:rPr>
              <w:t>+0.8</w:t>
            </w:r>
            <w:r w:rsidR="003B38E9" w:rsidRPr="00A07FF1">
              <w:rPr>
                <w:rFonts w:eastAsiaTheme="minorEastAsia" w:cstheme="minorHAnsi"/>
                <w:b/>
                <w:bCs/>
                <w:color w:val="000000"/>
                <w:sz w:val="16"/>
                <w:szCs w:val="16"/>
              </w:rPr>
              <w:t>%°</w:t>
            </w:r>
          </w:p>
        </w:tc>
      </w:tr>
      <w:tr w:rsidR="003D3D66" w:rsidRPr="00A07FF1" w14:paraId="59896521" w14:textId="77777777" w:rsidTr="00097BA5">
        <w:trPr>
          <w:trHeight w:val="158"/>
        </w:trPr>
        <w:tc>
          <w:tcPr>
            <w:tcW w:w="1917" w:type="dxa"/>
            <w:tcBorders>
              <w:top w:val="nil"/>
              <w:left w:val="single" w:sz="4" w:space="0" w:color="auto"/>
              <w:bottom w:val="nil"/>
              <w:right w:val="nil"/>
            </w:tcBorders>
            <w:vAlign w:val="center"/>
          </w:tcPr>
          <w:p w14:paraId="1658E724" w14:textId="01B9D231" w:rsidR="003D3D66" w:rsidRPr="00A07FF1" w:rsidRDefault="005B1D76" w:rsidP="007E0EDC">
            <w:pPr>
              <w:jc w:val="center"/>
              <w:rPr>
                <w:rFonts w:cstheme="minorHAnsi"/>
                <w:b/>
                <w:sz w:val="16"/>
                <w:szCs w:val="17"/>
              </w:rPr>
            </w:pPr>
            <w:r w:rsidRPr="00A07FF1">
              <w:rPr>
                <w:rFonts w:cstheme="minorHAnsi"/>
                <w:b/>
                <w:sz w:val="16"/>
                <w:szCs w:val="17"/>
              </w:rPr>
              <w:t>Imports:</w:t>
            </w:r>
          </w:p>
        </w:tc>
        <w:tc>
          <w:tcPr>
            <w:tcW w:w="1871" w:type="dxa"/>
            <w:tcBorders>
              <w:top w:val="nil"/>
              <w:left w:val="nil"/>
              <w:bottom w:val="nil"/>
              <w:right w:val="nil"/>
            </w:tcBorders>
            <w:vAlign w:val="center"/>
          </w:tcPr>
          <w:p w14:paraId="6BA81F20" w14:textId="3287F82A" w:rsidR="003D3D66" w:rsidRPr="00A07FF1" w:rsidRDefault="00086A28" w:rsidP="007E0EDC">
            <w:pPr>
              <w:rPr>
                <w:rFonts w:cstheme="minorHAnsi"/>
                <w:b/>
                <w:sz w:val="16"/>
                <w:szCs w:val="17"/>
              </w:rPr>
            </w:pPr>
            <w:r w:rsidRPr="00A07FF1">
              <w:rPr>
                <w:rFonts w:cstheme="minorHAnsi"/>
                <w:b/>
                <w:sz w:val="16"/>
                <w:szCs w:val="17"/>
              </w:rPr>
              <w:t>$</w:t>
            </w:r>
            <w:r w:rsidR="007D6D0D" w:rsidRPr="007D6D0D">
              <w:rPr>
                <w:rFonts w:cstheme="minorHAnsi"/>
                <w:b/>
                <w:sz w:val="16"/>
                <w:szCs w:val="17"/>
              </w:rPr>
              <w:t>258.5</w:t>
            </w:r>
            <w:r w:rsidRPr="00A07FF1">
              <w:rPr>
                <w:rFonts w:cstheme="minorHAnsi"/>
                <w:b/>
                <w:sz w:val="16"/>
                <w:szCs w:val="17"/>
              </w:rPr>
              <w:t xml:space="preserve"> Billion</w:t>
            </w:r>
          </w:p>
        </w:tc>
        <w:tc>
          <w:tcPr>
            <w:tcW w:w="959" w:type="dxa"/>
            <w:tcBorders>
              <w:top w:val="nil"/>
              <w:left w:val="nil"/>
              <w:bottom w:val="nil"/>
              <w:right w:val="single" w:sz="4" w:space="0" w:color="auto"/>
            </w:tcBorders>
          </w:tcPr>
          <w:p w14:paraId="2BBF00AB" w14:textId="593A4018" w:rsidR="003D3D66" w:rsidRPr="00A07FF1" w:rsidRDefault="007D6D0D" w:rsidP="007E0EDC">
            <w:pPr>
              <w:rPr>
                <w:rFonts w:cstheme="minorHAnsi"/>
                <w:b/>
                <w:sz w:val="16"/>
                <w:szCs w:val="16"/>
              </w:rPr>
            </w:pPr>
            <w:r w:rsidRPr="007D6D0D">
              <w:rPr>
                <w:rFonts w:cstheme="minorHAnsi"/>
                <w:b/>
                <w:sz w:val="16"/>
                <w:szCs w:val="17"/>
              </w:rPr>
              <w:t>+2.7</w:t>
            </w:r>
            <w:r w:rsidR="00E84213" w:rsidRPr="00A07FF1">
              <w:rPr>
                <w:rFonts w:cstheme="minorHAnsi"/>
                <w:b/>
                <w:sz w:val="16"/>
                <w:szCs w:val="16"/>
              </w:rPr>
              <w:t>%</w:t>
            </w:r>
            <w:r w:rsidR="00E84213" w:rsidRPr="00A07FF1">
              <w:rPr>
                <w:rFonts w:eastAsiaTheme="minorEastAsia" w:cstheme="minorHAnsi"/>
                <w:b/>
                <w:bCs/>
                <w:color w:val="000000"/>
                <w:sz w:val="16"/>
                <w:szCs w:val="16"/>
              </w:rPr>
              <w:t>°</w:t>
            </w:r>
          </w:p>
        </w:tc>
      </w:tr>
      <w:tr w:rsidR="003D3D66" w:rsidRPr="00A07FF1" w14:paraId="20B8F9F5" w14:textId="77777777" w:rsidTr="00097BA5">
        <w:trPr>
          <w:trHeight w:val="484"/>
        </w:trPr>
        <w:tc>
          <w:tcPr>
            <w:tcW w:w="4748" w:type="dxa"/>
            <w:gridSpan w:val="3"/>
            <w:tcBorders>
              <w:top w:val="nil"/>
              <w:left w:val="single" w:sz="4" w:space="0" w:color="auto"/>
              <w:bottom w:val="single" w:sz="4" w:space="0" w:color="auto"/>
              <w:right w:val="single" w:sz="4" w:space="0" w:color="auto"/>
            </w:tcBorders>
            <w:vAlign w:val="center"/>
          </w:tcPr>
          <w:p w14:paraId="040B4888" w14:textId="726BB38A" w:rsidR="00622924" w:rsidRPr="00A07FF1" w:rsidRDefault="00622924" w:rsidP="007E0EDC">
            <w:pPr>
              <w:jc w:val="center"/>
              <w:rPr>
                <w:rFonts w:cstheme="minorHAnsi"/>
                <w:sz w:val="12"/>
                <w:szCs w:val="14"/>
              </w:rPr>
            </w:pPr>
            <w:r w:rsidRPr="00A07FF1">
              <w:rPr>
                <w:rFonts w:cstheme="minorHAnsi"/>
                <w:b/>
                <w:sz w:val="16"/>
                <w:szCs w:val="18"/>
              </w:rPr>
              <w:t xml:space="preserve">Next release: </w:t>
            </w:r>
            <w:r w:rsidR="007D6D0D" w:rsidRPr="007D6D0D">
              <w:rPr>
                <w:rFonts w:cstheme="minorHAnsi"/>
                <w:b/>
                <w:sz w:val="16"/>
                <w:szCs w:val="18"/>
              </w:rPr>
              <w:t>March</w:t>
            </w:r>
            <w:r w:rsidR="007D6D0D">
              <w:t xml:space="preserve"> </w:t>
            </w:r>
            <w:r w:rsidR="007D6D0D" w:rsidRPr="007D6D0D">
              <w:rPr>
                <w:b/>
                <w:sz w:val="16"/>
              </w:rPr>
              <w:t>6, 2020</w:t>
            </w:r>
          </w:p>
          <w:p w14:paraId="3FEA3B62" w14:textId="77777777" w:rsidR="00622924" w:rsidRPr="00A07FF1" w:rsidRDefault="00622924" w:rsidP="007E0EDC">
            <w:pPr>
              <w:jc w:val="center"/>
              <w:rPr>
                <w:rFonts w:cstheme="minorHAnsi"/>
                <w:sz w:val="14"/>
                <w:szCs w:val="14"/>
              </w:rPr>
            </w:pPr>
          </w:p>
          <w:p w14:paraId="16CF8259" w14:textId="77777777" w:rsidR="00161BE7" w:rsidRPr="00A07FF1" w:rsidRDefault="00622924" w:rsidP="007E0EDC">
            <w:pPr>
              <w:jc w:val="center"/>
              <w:rPr>
                <w:rFonts w:eastAsiaTheme="minorEastAsia" w:cstheme="minorHAnsi"/>
                <w:color w:val="000000"/>
                <w:sz w:val="14"/>
                <w:szCs w:val="12"/>
              </w:rPr>
            </w:pPr>
            <w:r w:rsidRPr="00A07FF1">
              <w:rPr>
                <w:rFonts w:cstheme="minorHAnsi"/>
                <w:sz w:val="14"/>
                <w:szCs w:val="14"/>
              </w:rPr>
              <w:t xml:space="preserve"> </w:t>
            </w:r>
            <w:bookmarkStart w:id="1" w:name="footnote2"/>
            <w:r w:rsidR="002C4C11" w:rsidRPr="00A07FF1">
              <w:rPr>
                <w:rFonts w:cstheme="minorHAnsi"/>
                <w:sz w:val="14"/>
                <w:szCs w:val="14"/>
              </w:rPr>
              <w:t>(°)</w:t>
            </w:r>
            <w:bookmarkEnd w:id="1"/>
            <w:r w:rsidR="00161BE7" w:rsidRPr="00A07FF1">
              <w:rPr>
                <w:rFonts w:eastAsiaTheme="minorEastAsia" w:cstheme="minorHAnsi"/>
                <w:color w:val="000000"/>
                <w:sz w:val="14"/>
                <w:szCs w:val="12"/>
              </w:rPr>
              <w:t xml:space="preserve"> Statistical significance is not applicable or not measurable.</w:t>
            </w:r>
          </w:p>
          <w:p w14:paraId="5F744A14" w14:textId="31C842E9" w:rsidR="00622924" w:rsidRPr="00A07FF1" w:rsidRDefault="006E5A73" w:rsidP="007E0EDC">
            <w:pPr>
              <w:jc w:val="center"/>
              <w:rPr>
                <w:rFonts w:cstheme="minorHAnsi"/>
                <w:sz w:val="18"/>
                <w:szCs w:val="18"/>
              </w:rPr>
            </w:pPr>
            <w:r w:rsidRPr="00A07FF1">
              <w:rPr>
                <w:rFonts w:cstheme="minorHAnsi"/>
                <w:sz w:val="14"/>
                <w:szCs w:val="14"/>
              </w:rPr>
              <w:t>Data adjusted for seasonality but not price changes</w:t>
            </w:r>
          </w:p>
          <w:p w14:paraId="7607B508" w14:textId="0358FA50" w:rsidR="003D3D66" w:rsidRPr="00A07FF1" w:rsidRDefault="00E53A3F" w:rsidP="007E0EDC">
            <w:pPr>
              <w:jc w:val="center"/>
              <w:rPr>
                <w:rFonts w:cstheme="minorHAnsi"/>
                <w:sz w:val="14"/>
                <w:szCs w:val="14"/>
              </w:rPr>
            </w:pPr>
            <w:r w:rsidRPr="00A07FF1">
              <w:rPr>
                <w:rFonts w:cstheme="minorHAnsi"/>
                <w:sz w:val="14"/>
                <w:szCs w:val="14"/>
              </w:rPr>
              <w:t>Source: U.S. Census Bureau,</w:t>
            </w:r>
            <w:r w:rsidR="00F2498F" w:rsidRPr="00A07FF1">
              <w:rPr>
                <w:rFonts w:cstheme="minorHAnsi"/>
                <w:sz w:val="14"/>
                <w:szCs w:val="14"/>
              </w:rPr>
              <w:t xml:space="preserve"> U.S. Bureau of Economic Analysis;</w:t>
            </w:r>
            <w:r w:rsidRPr="00A07FF1">
              <w:rPr>
                <w:rFonts w:cstheme="minorHAnsi"/>
                <w:sz w:val="14"/>
                <w:szCs w:val="14"/>
              </w:rPr>
              <w:t xml:space="preserve"> </w:t>
            </w:r>
            <w:r w:rsidR="002C4C11" w:rsidRPr="00A07FF1">
              <w:rPr>
                <w:rFonts w:cstheme="minorHAnsi"/>
                <w:sz w:val="14"/>
                <w:szCs w:val="14"/>
              </w:rPr>
              <w:t>U.S. International Trade in Goods and Services</w:t>
            </w:r>
            <w:r w:rsidR="0024067F" w:rsidRPr="00A07FF1">
              <w:rPr>
                <w:rFonts w:cstheme="minorHAnsi"/>
                <w:sz w:val="14"/>
                <w:szCs w:val="14"/>
              </w:rPr>
              <w:t>,</w:t>
            </w:r>
            <w:r w:rsidR="00605675" w:rsidRPr="00A07FF1">
              <w:rPr>
                <w:rFonts w:cstheme="minorHAnsi"/>
                <w:sz w:val="14"/>
                <w:szCs w:val="14"/>
              </w:rPr>
              <w:t xml:space="preserve"> </w:t>
            </w:r>
            <w:r w:rsidR="007D6D0D" w:rsidRPr="007D6D0D">
              <w:rPr>
                <w:rFonts w:cstheme="minorHAnsi"/>
                <w:bCs/>
                <w:sz w:val="14"/>
                <w:szCs w:val="14"/>
              </w:rPr>
              <w:t>February</w:t>
            </w:r>
            <w:r w:rsidR="007D6D0D">
              <w:t xml:space="preserve"> </w:t>
            </w:r>
            <w:r w:rsidR="007D6D0D" w:rsidRPr="007D6D0D">
              <w:rPr>
                <w:sz w:val="14"/>
              </w:rPr>
              <w:t>5, 2020</w:t>
            </w:r>
            <w:r w:rsidR="00F2498F" w:rsidRPr="00A07FF1">
              <w:rPr>
                <w:rFonts w:cstheme="minorHAnsi"/>
                <w:sz w:val="14"/>
                <w:szCs w:val="14"/>
              </w:rPr>
              <w:t>.</w:t>
            </w:r>
          </w:p>
        </w:tc>
      </w:tr>
    </w:tbl>
    <w:p w14:paraId="7E85E578" w14:textId="016F4B45" w:rsidR="007E0EDC" w:rsidRPr="00A07FF1" w:rsidRDefault="007E0EDC" w:rsidP="007E0EDC">
      <w:pPr>
        <w:tabs>
          <w:tab w:val="left" w:pos="-360"/>
        </w:tabs>
        <w:spacing w:after="0"/>
        <w:ind w:left="-360"/>
        <w:rPr>
          <w:rFonts w:cstheme="minorHAnsi"/>
          <w:noProof/>
          <w:sz w:val="24"/>
          <w:szCs w:val="24"/>
        </w:rPr>
      </w:pPr>
      <w:r w:rsidRPr="00A07FF1">
        <w:rPr>
          <w:rFonts w:cstheme="minorHAnsi"/>
          <w:noProof/>
          <w:sz w:val="24"/>
          <w:szCs w:val="24"/>
        </w:rPr>
        <w:drawing>
          <wp:inline distT="0" distB="0" distL="0" distR="0" wp14:anchorId="4DC2BEF9" wp14:editId="706CF006">
            <wp:extent cx="3362394" cy="1993392"/>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p.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362394" cy="1993392"/>
                    </a:xfrm>
                    <a:prstGeom prst="rect">
                      <a:avLst/>
                    </a:prstGeom>
                  </pic:spPr>
                </pic:pic>
              </a:graphicData>
            </a:graphic>
          </wp:inline>
        </w:drawing>
      </w:r>
    </w:p>
    <w:p w14:paraId="25A73AA2" w14:textId="77777777" w:rsidR="007E0EDC" w:rsidRPr="00A07FF1" w:rsidRDefault="007E0EDC" w:rsidP="007E0EDC">
      <w:pPr>
        <w:tabs>
          <w:tab w:val="left" w:pos="-360"/>
        </w:tabs>
        <w:spacing w:after="0"/>
        <w:ind w:left="-360"/>
        <w:rPr>
          <w:rFonts w:cstheme="minorHAnsi"/>
          <w:noProof/>
          <w:sz w:val="24"/>
          <w:szCs w:val="24"/>
        </w:rPr>
      </w:pPr>
    </w:p>
    <w:p w14:paraId="2613715A" w14:textId="74293610" w:rsidR="00F65176" w:rsidRPr="00A07FF1" w:rsidRDefault="00086A28" w:rsidP="007E0EDC">
      <w:pPr>
        <w:tabs>
          <w:tab w:val="left" w:pos="-360"/>
          <w:tab w:val="left" w:pos="1485"/>
        </w:tabs>
        <w:spacing w:after="0"/>
        <w:ind w:left="-360"/>
        <w:rPr>
          <w:rFonts w:cstheme="minorHAnsi"/>
          <w:b/>
          <w:sz w:val="24"/>
          <w:szCs w:val="24"/>
        </w:rPr>
      </w:pPr>
      <w:r w:rsidRPr="00A07FF1">
        <w:rPr>
          <w:rFonts w:cstheme="minorHAnsi"/>
          <w:b/>
          <w:sz w:val="24"/>
          <w:szCs w:val="24"/>
        </w:rPr>
        <w:t>Exports, Imports</w:t>
      </w:r>
      <w:r w:rsidR="00BC0977" w:rsidRPr="00A07FF1">
        <w:rPr>
          <w:rFonts w:cstheme="minorHAnsi"/>
          <w:b/>
          <w:sz w:val="24"/>
          <w:szCs w:val="24"/>
        </w:rPr>
        <w:t>,</w:t>
      </w:r>
      <w:r w:rsidR="00881017" w:rsidRPr="00A07FF1">
        <w:rPr>
          <w:rFonts w:cstheme="minorHAnsi"/>
          <w:b/>
          <w:sz w:val="24"/>
          <w:szCs w:val="24"/>
        </w:rPr>
        <w:t xml:space="preserve"> and Balance</w:t>
      </w:r>
      <w:r w:rsidRPr="00A07FF1">
        <w:rPr>
          <w:rFonts w:cstheme="minorHAnsi"/>
          <w:b/>
          <w:sz w:val="24"/>
          <w:szCs w:val="24"/>
        </w:rPr>
        <w:t xml:space="preserve"> (Exhibit 1)</w:t>
      </w:r>
    </w:p>
    <w:p w14:paraId="5272528A" w14:textId="4DA3BD24" w:rsidR="00F65176" w:rsidRPr="00A07FF1" w:rsidRDefault="007D6D0D">
      <w:pPr>
        <w:spacing w:after="120"/>
        <w:ind w:left="-360"/>
        <w:rPr>
          <w:rFonts w:cstheme="minorHAnsi"/>
          <w:sz w:val="24"/>
          <w:szCs w:val="24"/>
        </w:rPr>
      </w:pPr>
      <w:r w:rsidRPr="007D6D0D">
        <w:rPr>
          <w:rFonts w:cstheme="minorHAnsi"/>
          <w:sz w:val="24"/>
          <w:szCs w:val="24"/>
        </w:rPr>
        <w:t>December exports were $209.6 billion, $1.6 billion more than November exports. December imports were $258.5 billion, $6.8 billion more than November imports.</w:t>
      </w:r>
    </w:p>
    <w:p w14:paraId="37F5E517" w14:textId="7AD42CB4" w:rsidR="00D578AE" w:rsidRPr="00A07FF1" w:rsidRDefault="007D6D0D" w:rsidP="00763110">
      <w:pPr>
        <w:spacing w:after="120"/>
        <w:ind w:left="-360"/>
        <w:rPr>
          <w:rFonts w:cstheme="minorHAnsi"/>
          <w:sz w:val="24"/>
          <w:szCs w:val="24"/>
        </w:rPr>
      </w:pPr>
      <w:r w:rsidRPr="007D6D0D">
        <w:rPr>
          <w:rFonts w:cstheme="minorHAnsi"/>
          <w:sz w:val="24"/>
          <w:szCs w:val="24"/>
        </w:rPr>
        <w:t>The December increase in the goods and services deficit reflected an increase in the goods deficit of $5.1 billion to $69.7 billion and a decrease in the services surplus of $0.1 billion to $20.8 billion.</w:t>
      </w:r>
    </w:p>
    <w:p w14:paraId="3A41391D" w14:textId="4D4D40A3" w:rsidR="00D578AE" w:rsidRPr="00A07FF1" w:rsidRDefault="007D6D0D" w:rsidP="00763110">
      <w:pPr>
        <w:spacing w:after="120"/>
        <w:ind w:left="-360"/>
        <w:rPr>
          <w:rFonts w:cstheme="minorHAnsi"/>
          <w:sz w:val="24"/>
          <w:szCs w:val="24"/>
        </w:rPr>
      </w:pPr>
      <w:r w:rsidRPr="007D6D0D">
        <w:rPr>
          <w:rFonts w:cstheme="minorHAnsi"/>
          <w:sz w:val="24"/>
          <w:szCs w:val="24"/>
        </w:rPr>
        <w:t>For 2019, the goods and services deficit decreased $10.9 billion, or 1.7 percent, from 2018. Exports decreased $1.5 billion or 0.1 percent. Imports decreased $12.5 billion or 0.4 percent.</w:t>
      </w:r>
    </w:p>
    <w:p w14:paraId="407D8A05" w14:textId="14925FF8" w:rsidR="00F65176" w:rsidRPr="00A07FF1" w:rsidRDefault="00086A28" w:rsidP="00A37583">
      <w:pPr>
        <w:spacing w:after="0"/>
        <w:ind w:left="-360"/>
        <w:rPr>
          <w:rFonts w:cstheme="minorHAnsi"/>
          <w:b/>
          <w:sz w:val="24"/>
          <w:szCs w:val="24"/>
        </w:rPr>
      </w:pPr>
      <w:r w:rsidRPr="00A07FF1">
        <w:rPr>
          <w:rFonts w:cstheme="minorHAnsi"/>
          <w:b/>
          <w:sz w:val="24"/>
          <w:szCs w:val="24"/>
        </w:rPr>
        <w:t>Three-Month Moving Averages (Exhibit 2)</w:t>
      </w:r>
    </w:p>
    <w:p w14:paraId="26EA5ECF" w14:textId="04121017" w:rsidR="00763110" w:rsidRPr="00A07FF1" w:rsidRDefault="007D6D0D" w:rsidP="00D6567F">
      <w:pPr>
        <w:spacing w:after="0"/>
        <w:ind w:left="-360"/>
        <w:rPr>
          <w:rFonts w:cstheme="minorHAnsi"/>
        </w:rPr>
      </w:pPr>
      <w:r w:rsidRPr="007D6D0D">
        <w:rPr>
          <w:rFonts w:cstheme="minorHAnsi"/>
          <w:bCs/>
          <w:sz w:val="24"/>
          <w:szCs w:val="24"/>
        </w:rPr>
        <w:t>The average goods and services deficit decreased $0.9 billion to $46.6 billion for the three months ending in December.</w:t>
      </w:r>
    </w:p>
    <w:p w14:paraId="53D7123D" w14:textId="3A0465E0" w:rsidR="00763110" w:rsidRPr="00A07FF1" w:rsidRDefault="007D6D0D" w:rsidP="00AE5B46">
      <w:pPr>
        <w:pStyle w:val="ListParagraph"/>
        <w:numPr>
          <w:ilvl w:val="0"/>
          <w:numId w:val="6"/>
        </w:numPr>
        <w:spacing w:after="0"/>
        <w:contextualSpacing w:val="0"/>
        <w:rPr>
          <w:rFonts w:cstheme="minorHAnsi"/>
          <w:sz w:val="24"/>
          <w:szCs w:val="24"/>
        </w:rPr>
      </w:pPr>
      <w:r w:rsidRPr="007D6D0D">
        <w:rPr>
          <w:rFonts w:cstheme="minorHAnsi"/>
          <w:sz w:val="24"/>
          <w:szCs w:val="24"/>
        </w:rPr>
        <w:t>Average exports increased $0.9 billion to $208.2 billion in December.</w:t>
      </w:r>
    </w:p>
    <w:p w14:paraId="1867190D" w14:textId="485ED87E" w:rsidR="00456B86" w:rsidRPr="00A07FF1" w:rsidRDefault="007D6D0D" w:rsidP="00881017">
      <w:pPr>
        <w:pStyle w:val="ListParagraph"/>
        <w:numPr>
          <w:ilvl w:val="0"/>
          <w:numId w:val="6"/>
        </w:numPr>
        <w:spacing w:after="120"/>
        <w:contextualSpacing w:val="0"/>
        <w:rPr>
          <w:rFonts w:cstheme="minorHAnsi"/>
          <w:sz w:val="24"/>
          <w:szCs w:val="24"/>
        </w:rPr>
      </w:pPr>
      <w:r w:rsidRPr="007D6D0D">
        <w:rPr>
          <w:rFonts w:cstheme="minorHAnsi"/>
          <w:sz w:val="24"/>
          <w:szCs w:val="24"/>
        </w:rPr>
        <w:t xml:space="preserve">Average imports decreased </w:t>
      </w:r>
      <w:r w:rsidR="00E072A5">
        <w:rPr>
          <w:rFonts w:cstheme="minorHAnsi"/>
          <w:sz w:val="24"/>
          <w:szCs w:val="24"/>
        </w:rPr>
        <w:t>less than $0.1</w:t>
      </w:r>
      <w:r w:rsidRPr="007D6D0D">
        <w:rPr>
          <w:rFonts w:cstheme="minorHAnsi"/>
          <w:sz w:val="24"/>
          <w:szCs w:val="24"/>
        </w:rPr>
        <w:t xml:space="preserve"> billion to $254.8 billion in December.</w:t>
      </w:r>
    </w:p>
    <w:p w14:paraId="0A86BF2A" w14:textId="1BAFB6DB" w:rsidR="00397D96" w:rsidRPr="00A07FF1" w:rsidRDefault="007D6D0D" w:rsidP="00D6567F">
      <w:pPr>
        <w:spacing w:after="0"/>
        <w:ind w:left="-360"/>
        <w:rPr>
          <w:rFonts w:cstheme="minorHAnsi"/>
          <w:sz w:val="24"/>
          <w:szCs w:val="24"/>
        </w:rPr>
      </w:pPr>
      <w:r w:rsidRPr="007D6D0D">
        <w:rPr>
          <w:rFonts w:cstheme="minorHAnsi"/>
          <w:sz w:val="24"/>
          <w:szCs w:val="24"/>
        </w:rPr>
        <w:lastRenderedPageBreak/>
        <w:t>Year-over-year, the average goods and services deficit decreased $10.4 billion from the three months ending in December 2018.</w:t>
      </w:r>
    </w:p>
    <w:p w14:paraId="17CA7CEB" w14:textId="3BAD0ABB" w:rsidR="008F3EB8" w:rsidRPr="00A07FF1" w:rsidRDefault="007D6D0D" w:rsidP="00881017">
      <w:pPr>
        <w:pStyle w:val="ListParagraph"/>
        <w:numPr>
          <w:ilvl w:val="0"/>
          <w:numId w:val="7"/>
        </w:numPr>
        <w:spacing w:after="0"/>
        <w:contextualSpacing w:val="0"/>
        <w:rPr>
          <w:rFonts w:cstheme="minorHAnsi"/>
          <w:sz w:val="24"/>
          <w:szCs w:val="24"/>
        </w:rPr>
      </w:pPr>
      <w:r w:rsidRPr="007D6D0D">
        <w:rPr>
          <w:rFonts w:cstheme="minorHAnsi"/>
          <w:sz w:val="24"/>
          <w:szCs w:val="24"/>
        </w:rPr>
        <w:t>Average exports increased $0.2 billion from December 2018.</w:t>
      </w:r>
    </w:p>
    <w:p w14:paraId="2B24AA6C" w14:textId="44250D7E" w:rsidR="00F65176" w:rsidRPr="00A07FF1" w:rsidRDefault="007D6D0D" w:rsidP="00881017">
      <w:pPr>
        <w:pStyle w:val="ListParagraph"/>
        <w:numPr>
          <w:ilvl w:val="0"/>
          <w:numId w:val="7"/>
        </w:numPr>
        <w:spacing w:after="120"/>
        <w:contextualSpacing w:val="0"/>
        <w:rPr>
          <w:rFonts w:cstheme="minorHAnsi"/>
          <w:sz w:val="24"/>
          <w:szCs w:val="24"/>
        </w:rPr>
      </w:pPr>
      <w:r w:rsidRPr="007D6D0D">
        <w:rPr>
          <w:rFonts w:cstheme="minorHAnsi"/>
          <w:sz w:val="24"/>
          <w:szCs w:val="24"/>
        </w:rPr>
        <w:t>Average imports decreased $10.2 billion from December 2018.</w:t>
      </w:r>
    </w:p>
    <w:p w14:paraId="7568173E" w14:textId="3DF950B8" w:rsidR="00F65176" w:rsidRPr="00A07FF1" w:rsidRDefault="00593E4B" w:rsidP="005B61C2">
      <w:pPr>
        <w:spacing w:after="0"/>
        <w:ind w:left="-360"/>
        <w:rPr>
          <w:rFonts w:cstheme="minorHAnsi"/>
          <w:b/>
          <w:sz w:val="24"/>
          <w:szCs w:val="24"/>
        </w:rPr>
      </w:pPr>
      <w:r w:rsidRPr="00A07FF1">
        <w:rPr>
          <w:rFonts w:cstheme="minorHAnsi"/>
          <w:b/>
          <w:sz w:val="24"/>
          <w:szCs w:val="24"/>
        </w:rPr>
        <w:t>Exports (Exhibits 3, 6, and 7)</w:t>
      </w:r>
    </w:p>
    <w:p w14:paraId="004B8453" w14:textId="3EFEE877" w:rsidR="00490E68" w:rsidRPr="00A07FF1" w:rsidRDefault="007D6D0D" w:rsidP="00B326C2">
      <w:pPr>
        <w:spacing w:after="120"/>
        <w:ind w:left="-360"/>
        <w:rPr>
          <w:rFonts w:cstheme="minorHAnsi"/>
          <w:noProof/>
          <w:sz w:val="24"/>
          <w:szCs w:val="24"/>
        </w:rPr>
      </w:pPr>
      <w:r w:rsidRPr="007D6D0D">
        <w:rPr>
          <w:rFonts w:cstheme="minorHAnsi"/>
          <w:noProof/>
          <w:sz w:val="24"/>
          <w:szCs w:val="24"/>
        </w:rPr>
        <w:t>Exports of goods increased $1.3 billion to $137.7 billion in December.</w:t>
      </w:r>
    </w:p>
    <w:p w14:paraId="493717D0" w14:textId="01F53472" w:rsidR="00C948C6" w:rsidRPr="00A07FF1" w:rsidRDefault="007D6D0D" w:rsidP="006B109E">
      <w:pPr>
        <w:spacing w:after="120"/>
        <w:ind w:left="-360" w:firstLine="360"/>
        <w:rPr>
          <w:rFonts w:cstheme="minorHAnsi"/>
          <w:noProof/>
          <w:sz w:val="24"/>
          <w:szCs w:val="24"/>
        </w:rPr>
      </w:pPr>
      <w:r w:rsidRPr="007D6D0D">
        <w:rPr>
          <w:rFonts w:cstheme="minorHAnsi"/>
          <w:noProof/>
          <w:sz w:val="24"/>
          <w:szCs w:val="24"/>
        </w:rPr>
        <w:t>Exports of goods on a Census basis increased $1.3 billion.</w:t>
      </w:r>
    </w:p>
    <w:p w14:paraId="4EB505B1" w14:textId="2F3ACD07" w:rsidR="00B36F74" w:rsidRPr="00CA360C" w:rsidRDefault="00701E46" w:rsidP="00AA3E38">
      <w:pPr>
        <w:numPr>
          <w:ilvl w:val="1"/>
          <w:numId w:val="3"/>
        </w:numPr>
        <w:spacing w:after="0"/>
        <w:rPr>
          <w:rFonts w:cstheme="minorHAnsi"/>
          <w:noProof/>
          <w:sz w:val="24"/>
          <w:szCs w:val="24"/>
        </w:rPr>
      </w:pPr>
      <w:r>
        <w:rPr>
          <w:rFonts w:cstheme="minorHAnsi"/>
          <w:noProof/>
          <w:sz w:val="24"/>
          <w:szCs w:val="24"/>
        </w:rPr>
        <w:t>Industrial supplies and materials</w:t>
      </w:r>
      <w:r w:rsidR="00AA3E38" w:rsidRPr="00CA360C">
        <w:rPr>
          <w:rFonts w:cstheme="minorHAnsi"/>
          <w:noProof/>
          <w:sz w:val="24"/>
          <w:szCs w:val="24"/>
        </w:rPr>
        <w:t xml:space="preserve"> increased $</w:t>
      </w:r>
      <w:r>
        <w:rPr>
          <w:rFonts w:cstheme="minorHAnsi"/>
          <w:noProof/>
          <w:sz w:val="24"/>
          <w:szCs w:val="24"/>
        </w:rPr>
        <w:t>1.7</w:t>
      </w:r>
      <w:r w:rsidR="00AA3E38" w:rsidRPr="00CA360C">
        <w:rPr>
          <w:rFonts w:cstheme="minorHAnsi"/>
          <w:noProof/>
          <w:sz w:val="24"/>
          <w:szCs w:val="24"/>
        </w:rPr>
        <w:t xml:space="preserve"> billion.</w:t>
      </w:r>
    </w:p>
    <w:p w14:paraId="3FAD5C64" w14:textId="00C2A7A1" w:rsidR="008F6554" w:rsidRPr="00CA360C" w:rsidRDefault="00C1371D" w:rsidP="00C1371D">
      <w:pPr>
        <w:pStyle w:val="ListParagraph"/>
        <w:numPr>
          <w:ilvl w:val="2"/>
          <w:numId w:val="3"/>
        </w:numPr>
        <w:spacing w:after="0"/>
        <w:rPr>
          <w:rFonts w:cstheme="minorHAnsi"/>
          <w:noProof/>
          <w:sz w:val="24"/>
          <w:szCs w:val="24"/>
        </w:rPr>
      </w:pPr>
      <w:r w:rsidRPr="00C1371D">
        <w:rPr>
          <w:rFonts w:cstheme="minorHAnsi"/>
          <w:noProof/>
          <w:sz w:val="24"/>
          <w:szCs w:val="24"/>
        </w:rPr>
        <w:t>Crude oil increased $1.5 billion.</w:t>
      </w:r>
    </w:p>
    <w:p w14:paraId="548B4AD8" w14:textId="462B4B18" w:rsidR="002607E3" w:rsidRPr="00C1371D" w:rsidRDefault="00C1371D" w:rsidP="00C1371D">
      <w:pPr>
        <w:numPr>
          <w:ilvl w:val="1"/>
          <w:numId w:val="3"/>
        </w:numPr>
        <w:spacing w:after="0"/>
        <w:rPr>
          <w:rFonts w:cstheme="minorHAnsi"/>
          <w:noProof/>
          <w:sz w:val="24"/>
          <w:szCs w:val="24"/>
        </w:rPr>
      </w:pPr>
      <w:r w:rsidRPr="00C1371D">
        <w:rPr>
          <w:rFonts w:cstheme="minorHAnsi"/>
          <w:noProof/>
          <w:sz w:val="24"/>
          <w:szCs w:val="24"/>
        </w:rPr>
        <w:t>Other goods increased $1.0 billion.</w:t>
      </w:r>
    </w:p>
    <w:p w14:paraId="71A7151F" w14:textId="2E302C08" w:rsidR="000F4EAC" w:rsidRDefault="00C1371D" w:rsidP="00C1371D">
      <w:pPr>
        <w:pStyle w:val="ListParagraph"/>
        <w:numPr>
          <w:ilvl w:val="1"/>
          <w:numId w:val="3"/>
        </w:numPr>
        <w:spacing w:after="0" w:line="240" w:lineRule="auto"/>
        <w:rPr>
          <w:rFonts w:ascii="Calibri" w:eastAsia="Times New Roman" w:hAnsi="Calibri" w:cs="Calibri"/>
          <w:color w:val="000000"/>
          <w:sz w:val="24"/>
          <w:szCs w:val="24"/>
        </w:rPr>
      </w:pPr>
      <w:r w:rsidRPr="00C1371D">
        <w:rPr>
          <w:rFonts w:ascii="Calibri" w:eastAsia="Times New Roman" w:hAnsi="Calibri" w:cs="Calibri"/>
          <w:color w:val="000000"/>
          <w:sz w:val="24"/>
          <w:szCs w:val="24"/>
        </w:rPr>
        <w:t>Automotive vehicles, parts, and engines decreased $1.0 billion.</w:t>
      </w:r>
    </w:p>
    <w:p w14:paraId="09160D52" w14:textId="29450BAC" w:rsidR="00C1371D" w:rsidRPr="00CA360C" w:rsidRDefault="00C1371D" w:rsidP="00C1371D">
      <w:pPr>
        <w:pStyle w:val="ListParagraph"/>
        <w:numPr>
          <w:ilvl w:val="2"/>
          <w:numId w:val="3"/>
        </w:numPr>
        <w:spacing w:after="0" w:line="240" w:lineRule="auto"/>
        <w:rPr>
          <w:rFonts w:ascii="Calibri" w:eastAsia="Times New Roman" w:hAnsi="Calibri" w:cs="Calibri"/>
          <w:color w:val="000000"/>
          <w:sz w:val="24"/>
          <w:szCs w:val="24"/>
        </w:rPr>
      </w:pPr>
      <w:r w:rsidRPr="00C1371D">
        <w:rPr>
          <w:rFonts w:ascii="Calibri" w:eastAsia="Times New Roman" w:hAnsi="Calibri" w:cs="Calibri"/>
          <w:color w:val="000000"/>
          <w:sz w:val="24"/>
          <w:szCs w:val="24"/>
        </w:rPr>
        <w:t>Passenger cars decreased $0.6 billion.</w:t>
      </w:r>
    </w:p>
    <w:p w14:paraId="15B2696E" w14:textId="00ADE708" w:rsidR="00422991" w:rsidRPr="00A07FF1" w:rsidRDefault="007D6D0D" w:rsidP="002A777B">
      <w:pPr>
        <w:spacing w:before="120" w:after="120"/>
        <w:ind w:left="-360" w:firstLine="360"/>
        <w:rPr>
          <w:rFonts w:cstheme="minorHAnsi"/>
          <w:noProof/>
          <w:sz w:val="24"/>
          <w:szCs w:val="24"/>
        </w:rPr>
      </w:pPr>
      <w:r w:rsidRPr="007D6D0D">
        <w:rPr>
          <w:rFonts w:cstheme="minorHAnsi"/>
          <w:noProof/>
          <w:sz w:val="24"/>
          <w:szCs w:val="24"/>
        </w:rPr>
        <w:t xml:space="preserve">Net balance of payments adjustments </w:t>
      </w:r>
      <w:r w:rsidR="0027328E">
        <w:rPr>
          <w:rFonts w:cstheme="minorHAnsi"/>
          <w:noProof/>
          <w:sz w:val="24"/>
          <w:szCs w:val="24"/>
        </w:rPr>
        <w:t xml:space="preserve">increased less than </w:t>
      </w:r>
      <w:r w:rsidRPr="007D6D0D">
        <w:rPr>
          <w:rFonts w:cstheme="minorHAnsi"/>
          <w:noProof/>
          <w:sz w:val="24"/>
          <w:szCs w:val="24"/>
        </w:rPr>
        <w:t>$0.</w:t>
      </w:r>
      <w:r w:rsidR="0027328E">
        <w:rPr>
          <w:rFonts w:cstheme="minorHAnsi"/>
          <w:noProof/>
          <w:sz w:val="24"/>
          <w:szCs w:val="24"/>
        </w:rPr>
        <w:t>1</w:t>
      </w:r>
      <w:r w:rsidRPr="007D6D0D">
        <w:rPr>
          <w:rFonts w:cstheme="minorHAnsi"/>
          <w:noProof/>
          <w:sz w:val="24"/>
          <w:szCs w:val="24"/>
        </w:rPr>
        <w:t xml:space="preserve"> billion.</w:t>
      </w:r>
    </w:p>
    <w:p w14:paraId="7D0995C1" w14:textId="6F292546" w:rsidR="00C2068D" w:rsidRPr="000F6045" w:rsidRDefault="007D6D0D" w:rsidP="00B36F74">
      <w:pPr>
        <w:spacing w:after="0"/>
        <w:ind w:left="-360"/>
        <w:rPr>
          <w:rFonts w:cstheme="minorHAnsi"/>
          <w:noProof/>
          <w:sz w:val="24"/>
          <w:szCs w:val="24"/>
        </w:rPr>
      </w:pPr>
      <w:r w:rsidRPr="007D6D0D">
        <w:rPr>
          <w:rFonts w:cstheme="minorHAnsi"/>
          <w:noProof/>
          <w:sz w:val="24"/>
          <w:szCs w:val="24"/>
        </w:rPr>
        <w:t xml:space="preserve">Exports of </w:t>
      </w:r>
      <w:r w:rsidRPr="00DD7E81">
        <w:rPr>
          <w:sz w:val="24"/>
          <w:szCs w:val="24"/>
        </w:rPr>
        <w:t>services increased $0.3 billion to $71.9 billion in December.</w:t>
      </w:r>
    </w:p>
    <w:p w14:paraId="50F7489D" w14:textId="77777777" w:rsidR="00075DBA" w:rsidRPr="00075DBA" w:rsidRDefault="00075DBA" w:rsidP="00075DBA">
      <w:pPr>
        <w:pStyle w:val="ListParagraph"/>
        <w:numPr>
          <w:ilvl w:val="0"/>
          <w:numId w:val="8"/>
        </w:numPr>
        <w:spacing w:after="0"/>
        <w:rPr>
          <w:rFonts w:cstheme="minorHAnsi"/>
          <w:noProof/>
          <w:sz w:val="24"/>
          <w:szCs w:val="24"/>
        </w:rPr>
      </w:pPr>
      <w:r w:rsidRPr="00075DBA">
        <w:rPr>
          <w:rFonts w:cstheme="minorHAnsi"/>
          <w:noProof/>
          <w:sz w:val="24"/>
          <w:szCs w:val="24"/>
        </w:rPr>
        <w:t>Travel increased $0.2 billion.</w:t>
      </w:r>
    </w:p>
    <w:p w14:paraId="620999DA" w14:textId="39A992FD" w:rsidR="00942A68" w:rsidRPr="000F6045" w:rsidRDefault="00075DBA" w:rsidP="00075DBA">
      <w:pPr>
        <w:pStyle w:val="ListParagraph"/>
        <w:numPr>
          <w:ilvl w:val="0"/>
          <w:numId w:val="8"/>
        </w:numPr>
        <w:spacing w:after="0"/>
        <w:rPr>
          <w:rFonts w:cstheme="minorHAnsi"/>
          <w:noProof/>
          <w:sz w:val="24"/>
          <w:szCs w:val="24"/>
        </w:rPr>
      </w:pPr>
      <w:r w:rsidRPr="00075DBA">
        <w:rPr>
          <w:rFonts w:cstheme="minorHAnsi"/>
          <w:noProof/>
          <w:sz w:val="24"/>
          <w:szCs w:val="24"/>
        </w:rPr>
        <w:t>Other business services increased $0.1 billion</w:t>
      </w:r>
      <w:r w:rsidR="000F6045" w:rsidRPr="000F6045">
        <w:rPr>
          <w:rFonts w:cstheme="minorHAnsi"/>
          <w:noProof/>
          <w:sz w:val="24"/>
          <w:szCs w:val="24"/>
        </w:rPr>
        <w:t>.</w:t>
      </w:r>
    </w:p>
    <w:p w14:paraId="0D9A76B3" w14:textId="77777777" w:rsidR="003133E9" w:rsidRPr="00A07FF1" w:rsidRDefault="00593E4B" w:rsidP="00422991">
      <w:pPr>
        <w:spacing w:before="120" w:after="0"/>
        <w:ind w:left="-360"/>
        <w:rPr>
          <w:rFonts w:cstheme="minorHAnsi"/>
          <w:b/>
          <w:noProof/>
          <w:sz w:val="24"/>
          <w:szCs w:val="24"/>
        </w:rPr>
      </w:pPr>
      <w:r w:rsidRPr="00A07FF1">
        <w:rPr>
          <w:rFonts w:cstheme="minorHAnsi"/>
          <w:b/>
          <w:noProof/>
          <w:sz w:val="24"/>
          <w:szCs w:val="24"/>
        </w:rPr>
        <w:t>Imports (Exhibits 4, 6, and 8)</w:t>
      </w:r>
    </w:p>
    <w:p w14:paraId="2430CD35" w14:textId="66E3643A" w:rsidR="00C2068D" w:rsidRPr="00A07FF1" w:rsidRDefault="007D6D0D" w:rsidP="003133E9">
      <w:pPr>
        <w:spacing w:after="120"/>
        <w:ind w:left="-360"/>
        <w:rPr>
          <w:rFonts w:cstheme="minorHAnsi"/>
          <w:noProof/>
          <w:sz w:val="24"/>
          <w:szCs w:val="24"/>
        </w:rPr>
      </w:pPr>
      <w:r w:rsidRPr="007D6D0D">
        <w:rPr>
          <w:rFonts w:cstheme="minorHAnsi"/>
          <w:noProof/>
          <w:sz w:val="24"/>
          <w:szCs w:val="24"/>
        </w:rPr>
        <w:t>Imports of goods increased $6.4 billion to $207.5 billion in December.</w:t>
      </w:r>
    </w:p>
    <w:p w14:paraId="016FBF52" w14:textId="4F823A20" w:rsidR="00C2068D" w:rsidRPr="00A07FF1" w:rsidRDefault="007D6D0D" w:rsidP="00AC7901">
      <w:pPr>
        <w:spacing w:after="120"/>
        <w:ind w:left="-360" w:firstLine="360"/>
        <w:rPr>
          <w:rFonts w:cstheme="minorHAnsi"/>
          <w:noProof/>
          <w:sz w:val="24"/>
          <w:szCs w:val="24"/>
        </w:rPr>
      </w:pPr>
      <w:r w:rsidRPr="007D6D0D">
        <w:rPr>
          <w:rFonts w:cstheme="minorHAnsi"/>
          <w:noProof/>
          <w:sz w:val="24"/>
          <w:szCs w:val="24"/>
        </w:rPr>
        <w:t>Imports of goods on a Census basis increased $6.2 billion.</w:t>
      </w:r>
    </w:p>
    <w:p w14:paraId="3CC1FACF" w14:textId="2BFB9FF8" w:rsidR="00C379CA" w:rsidRDefault="00C379CA" w:rsidP="00C379CA">
      <w:pPr>
        <w:numPr>
          <w:ilvl w:val="1"/>
          <w:numId w:val="3"/>
        </w:numPr>
        <w:spacing w:after="0"/>
        <w:rPr>
          <w:rFonts w:cstheme="minorHAnsi"/>
          <w:noProof/>
          <w:sz w:val="24"/>
          <w:szCs w:val="24"/>
        </w:rPr>
      </w:pPr>
      <w:r w:rsidRPr="00C379CA">
        <w:rPr>
          <w:rFonts w:cstheme="minorHAnsi"/>
          <w:noProof/>
          <w:sz w:val="24"/>
          <w:szCs w:val="24"/>
        </w:rPr>
        <w:t xml:space="preserve">Industrial supplies and materials </w:t>
      </w:r>
      <w:r w:rsidR="00DD7E81">
        <w:rPr>
          <w:rFonts w:cstheme="minorHAnsi"/>
          <w:noProof/>
          <w:sz w:val="24"/>
          <w:szCs w:val="24"/>
        </w:rPr>
        <w:t>in</w:t>
      </w:r>
      <w:r w:rsidRPr="00C379CA">
        <w:rPr>
          <w:rFonts w:cstheme="minorHAnsi"/>
          <w:noProof/>
          <w:sz w:val="24"/>
          <w:szCs w:val="24"/>
        </w:rPr>
        <w:t>creased $</w:t>
      </w:r>
      <w:r w:rsidR="00DD7E81">
        <w:rPr>
          <w:rFonts w:cstheme="minorHAnsi"/>
          <w:noProof/>
          <w:sz w:val="24"/>
          <w:szCs w:val="24"/>
        </w:rPr>
        <w:t>4.0</w:t>
      </w:r>
      <w:r w:rsidRPr="00C379CA">
        <w:rPr>
          <w:rFonts w:cstheme="minorHAnsi"/>
          <w:noProof/>
          <w:sz w:val="24"/>
          <w:szCs w:val="24"/>
        </w:rPr>
        <w:t xml:space="preserve"> billion.</w:t>
      </w:r>
    </w:p>
    <w:p w14:paraId="032F5BA5" w14:textId="77777777" w:rsidR="00DD7E81" w:rsidRPr="00DD7E81" w:rsidRDefault="00DD7E81" w:rsidP="00DD7E81">
      <w:pPr>
        <w:numPr>
          <w:ilvl w:val="2"/>
          <w:numId w:val="3"/>
        </w:numPr>
        <w:spacing w:after="0"/>
        <w:rPr>
          <w:rFonts w:cstheme="minorHAnsi"/>
          <w:noProof/>
          <w:sz w:val="24"/>
          <w:szCs w:val="24"/>
        </w:rPr>
      </w:pPr>
      <w:r w:rsidRPr="00DD7E81">
        <w:rPr>
          <w:rFonts w:cstheme="minorHAnsi"/>
          <w:noProof/>
          <w:sz w:val="24"/>
          <w:szCs w:val="24"/>
        </w:rPr>
        <w:t>Crude oil increased $1.7 billion.</w:t>
      </w:r>
    </w:p>
    <w:p w14:paraId="4ADB864F" w14:textId="77777777" w:rsidR="00DD7E81" w:rsidRPr="00DD7E81" w:rsidRDefault="00DD7E81" w:rsidP="00DD7E81">
      <w:pPr>
        <w:numPr>
          <w:ilvl w:val="2"/>
          <w:numId w:val="3"/>
        </w:numPr>
        <w:spacing w:after="0"/>
        <w:rPr>
          <w:rFonts w:cstheme="minorHAnsi"/>
          <w:noProof/>
          <w:sz w:val="24"/>
          <w:szCs w:val="24"/>
        </w:rPr>
      </w:pPr>
      <w:r w:rsidRPr="00DD7E81">
        <w:rPr>
          <w:rFonts w:cstheme="minorHAnsi"/>
          <w:noProof/>
          <w:sz w:val="24"/>
          <w:szCs w:val="24"/>
        </w:rPr>
        <w:t>Nonmonetary gold increased $0.9 billion.</w:t>
      </w:r>
    </w:p>
    <w:p w14:paraId="6AD6466A" w14:textId="62BC5579" w:rsidR="00C379CA" w:rsidRDefault="00DD7E81" w:rsidP="00DD7E81">
      <w:pPr>
        <w:numPr>
          <w:ilvl w:val="2"/>
          <w:numId w:val="3"/>
        </w:numPr>
        <w:spacing w:after="0"/>
        <w:rPr>
          <w:rFonts w:cstheme="minorHAnsi"/>
          <w:noProof/>
          <w:sz w:val="24"/>
          <w:szCs w:val="24"/>
        </w:rPr>
      </w:pPr>
      <w:r w:rsidRPr="00DD7E81">
        <w:rPr>
          <w:rFonts w:cstheme="minorHAnsi"/>
          <w:noProof/>
          <w:sz w:val="24"/>
          <w:szCs w:val="24"/>
        </w:rPr>
        <w:t>Other petroleum products increased $0.6 billion</w:t>
      </w:r>
      <w:r w:rsidR="00C379CA" w:rsidRPr="00C379CA">
        <w:rPr>
          <w:rFonts w:cstheme="minorHAnsi"/>
          <w:noProof/>
          <w:sz w:val="24"/>
          <w:szCs w:val="24"/>
        </w:rPr>
        <w:t>.</w:t>
      </w:r>
    </w:p>
    <w:p w14:paraId="72EAFF06" w14:textId="31297FCF" w:rsidR="00704932" w:rsidRDefault="00DD7E81" w:rsidP="00DD7E81">
      <w:pPr>
        <w:numPr>
          <w:ilvl w:val="1"/>
          <w:numId w:val="3"/>
        </w:numPr>
        <w:spacing w:after="0"/>
        <w:rPr>
          <w:rFonts w:cstheme="minorHAnsi"/>
          <w:noProof/>
          <w:sz w:val="24"/>
          <w:szCs w:val="24"/>
        </w:rPr>
      </w:pPr>
      <w:r w:rsidRPr="00DD7E81">
        <w:rPr>
          <w:rFonts w:cstheme="minorHAnsi"/>
          <w:noProof/>
          <w:sz w:val="24"/>
          <w:szCs w:val="24"/>
        </w:rPr>
        <w:t>Other goods increased $1.2 billion</w:t>
      </w:r>
      <w:r w:rsidR="00704932" w:rsidRPr="00704932">
        <w:rPr>
          <w:rFonts w:cstheme="minorHAnsi"/>
          <w:noProof/>
          <w:sz w:val="24"/>
          <w:szCs w:val="24"/>
        </w:rPr>
        <w:t>.</w:t>
      </w:r>
    </w:p>
    <w:p w14:paraId="04604A58" w14:textId="3008D337" w:rsidR="00A95685" w:rsidRPr="00A07FF1" w:rsidRDefault="007D6D0D" w:rsidP="0072449D">
      <w:pPr>
        <w:spacing w:before="120" w:after="120"/>
        <w:ind w:left="-360" w:firstLine="360"/>
        <w:rPr>
          <w:rFonts w:cstheme="minorHAnsi"/>
          <w:noProof/>
          <w:sz w:val="24"/>
          <w:szCs w:val="24"/>
        </w:rPr>
      </w:pPr>
      <w:r w:rsidRPr="007D6D0D">
        <w:rPr>
          <w:rFonts w:cstheme="minorHAnsi"/>
          <w:noProof/>
          <w:sz w:val="24"/>
          <w:szCs w:val="24"/>
        </w:rPr>
        <w:t xml:space="preserve">Net balance of payments adjustments </w:t>
      </w:r>
      <w:r w:rsidR="0027328E">
        <w:rPr>
          <w:rFonts w:cstheme="minorHAnsi"/>
          <w:noProof/>
          <w:sz w:val="24"/>
          <w:szCs w:val="24"/>
        </w:rPr>
        <w:t>in</w:t>
      </w:r>
      <w:r w:rsidRPr="007D6D0D">
        <w:rPr>
          <w:rFonts w:cstheme="minorHAnsi"/>
          <w:noProof/>
          <w:sz w:val="24"/>
          <w:szCs w:val="24"/>
        </w:rPr>
        <w:t>creased $</w:t>
      </w:r>
      <w:r w:rsidR="0027328E">
        <w:rPr>
          <w:rFonts w:cstheme="minorHAnsi"/>
          <w:noProof/>
          <w:sz w:val="24"/>
          <w:szCs w:val="24"/>
        </w:rPr>
        <w:t>0.1</w:t>
      </w:r>
      <w:r w:rsidRPr="007D6D0D">
        <w:rPr>
          <w:rFonts w:cstheme="minorHAnsi"/>
          <w:noProof/>
          <w:sz w:val="24"/>
          <w:szCs w:val="24"/>
        </w:rPr>
        <w:t xml:space="preserve"> billion.</w:t>
      </w:r>
    </w:p>
    <w:p w14:paraId="66A210CB" w14:textId="066321D9" w:rsidR="00674036" w:rsidRPr="000F6045" w:rsidRDefault="007D6D0D" w:rsidP="00AC7901">
      <w:pPr>
        <w:spacing w:after="0"/>
        <w:ind w:left="-360"/>
        <w:rPr>
          <w:rFonts w:cstheme="minorHAnsi"/>
          <w:noProof/>
          <w:sz w:val="24"/>
          <w:szCs w:val="24"/>
        </w:rPr>
      </w:pPr>
      <w:r w:rsidRPr="007D6D0D">
        <w:rPr>
          <w:rFonts w:cstheme="minorHAnsi"/>
          <w:noProof/>
          <w:sz w:val="24"/>
          <w:szCs w:val="24"/>
        </w:rPr>
        <w:t xml:space="preserve">Imports of </w:t>
      </w:r>
      <w:r w:rsidRPr="00E072A5">
        <w:rPr>
          <w:sz w:val="24"/>
          <w:szCs w:val="24"/>
        </w:rPr>
        <w:t>services increased $0.4 billion to $51.1 billion in December</w:t>
      </w:r>
      <w:r>
        <w:t>.</w:t>
      </w:r>
    </w:p>
    <w:p w14:paraId="3D4CC015" w14:textId="77777777" w:rsidR="00075DBA" w:rsidRPr="00075DBA" w:rsidRDefault="00075DBA" w:rsidP="00075DBA">
      <w:pPr>
        <w:pStyle w:val="ListParagraph"/>
        <w:numPr>
          <w:ilvl w:val="0"/>
          <w:numId w:val="10"/>
        </w:numPr>
        <w:rPr>
          <w:rFonts w:cstheme="minorHAnsi"/>
          <w:noProof/>
          <w:sz w:val="24"/>
          <w:szCs w:val="24"/>
        </w:rPr>
      </w:pPr>
      <w:r w:rsidRPr="00075DBA">
        <w:rPr>
          <w:rFonts w:cstheme="minorHAnsi"/>
          <w:noProof/>
          <w:sz w:val="24"/>
          <w:szCs w:val="24"/>
        </w:rPr>
        <w:t>Travel increased $0.2 billion.</w:t>
      </w:r>
    </w:p>
    <w:p w14:paraId="06292D7A" w14:textId="4471B979" w:rsidR="00F81A5D" w:rsidRPr="000F6045" w:rsidRDefault="00075DBA" w:rsidP="00075DBA">
      <w:pPr>
        <w:pStyle w:val="ListParagraph"/>
        <w:numPr>
          <w:ilvl w:val="0"/>
          <w:numId w:val="10"/>
        </w:numPr>
        <w:rPr>
          <w:rFonts w:cstheme="minorHAnsi"/>
          <w:noProof/>
          <w:sz w:val="24"/>
          <w:szCs w:val="24"/>
        </w:rPr>
      </w:pPr>
      <w:r w:rsidRPr="00075DBA">
        <w:rPr>
          <w:rFonts w:cstheme="minorHAnsi"/>
          <w:noProof/>
          <w:sz w:val="24"/>
          <w:szCs w:val="24"/>
        </w:rPr>
        <w:t>Transport increased $0.1 billion</w:t>
      </w:r>
      <w:r w:rsidR="000F6045" w:rsidRPr="000F6045">
        <w:rPr>
          <w:rFonts w:cstheme="minorHAnsi"/>
          <w:noProof/>
          <w:sz w:val="24"/>
          <w:szCs w:val="24"/>
        </w:rPr>
        <w:t>.</w:t>
      </w:r>
    </w:p>
    <w:p w14:paraId="67E6A8A5" w14:textId="37D9F18B" w:rsidR="00674036" w:rsidRPr="00A07FF1" w:rsidRDefault="00D602E5" w:rsidP="00AC7901">
      <w:pPr>
        <w:spacing w:after="0"/>
        <w:ind w:left="-360"/>
        <w:rPr>
          <w:rFonts w:cstheme="minorHAnsi"/>
          <w:noProof/>
          <w:sz w:val="24"/>
          <w:szCs w:val="24"/>
        </w:rPr>
      </w:pPr>
      <w:r w:rsidRPr="00A07FF1">
        <w:rPr>
          <w:rFonts w:cstheme="minorHAnsi"/>
          <w:b/>
          <w:noProof/>
          <w:sz w:val="24"/>
          <w:szCs w:val="24"/>
        </w:rPr>
        <w:lastRenderedPageBreak/>
        <w:t xml:space="preserve">Real Goods in </w:t>
      </w:r>
      <w:r w:rsidR="005E58EE" w:rsidRPr="00A07FF1">
        <w:rPr>
          <w:rFonts w:cstheme="minorHAnsi"/>
          <w:b/>
          <w:noProof/>
          <w:sz w:val="24"/>
          <w:szCs w:val="24"/>
        </w:rPr>
        <w:t>2012</w:t>
      </w:r>
      <w:r w:rsidRPr="00A07FF1">
        <w:rPr>
          <w:rFonts w:cstheme="minorHAnsi"/>
          <w:b/>
          <w:noProof/>
          <w:sz w:val="24"/>
          <w:szCs w:val="24"/>
        </w:rPr>
        <w:t xml:space="preserve"> Dollars – Census Basis (Exhibit 11)</w:t>
      </w:r>
      <w:r w:rsidRPr="00A07FF1">
        <w:rPr>
          <w:rFonts w:cstheme="minorHAnsi"/>
          <w:b/>
          <w:noProof/>
          <w:sz w:val="24"/>
          <w:szCs w:val="24"/>
        </w:rPr>
        <w:br/>
      </w:r>
      <w:r w:rsidR="007D6D0D" w:rsidRPr="007D6D0D">
        <w:rPr>
          <w:rFonts w:cstheme="minorHAnsi"/>
          <w:noProof/>
          <w:sz w:val="24"/>
          <w:szCs w:val="24"/>
        </w:rPr>
        <w:t>The real goods deficit increased $4.3 billion to $80.5 billion in December.</w:t>
      </w:r>
    </w:p>
    <w:p w14:paraId="17CE7759" w14:textId="3E37B6CD" w:rsidR="00674036" w:rsidRPr="00A07FF1" w:rsidRDefault="007D6D0D" w:rsidP="009E311D">
      <w:pPr>
        <w:pStyle w:val="ListParagraph"/>
        <w:numPr>
          <w:ilvl w:val="0"/>
          <w:numId w:val="10"/>
        </w:numPr>
        <w:spacing w:after="0"/>
        <w:contextualSpacing w:val="0"/>
        <w:rPr>
          <w:rFonts w:cstheme="minorHAnsi"/>
          <w:noProof/>
          <w:sz w:val="24"/>
          <w:szCs w:val="24"/>
        </w:rPr>
      </w:pPr>
      <w:r w:rsidRPr="007D6D0D">
        <w:rPr>
          <w:rFonts w:cstheme="minorHAnsi"/>
          <w:noProof/>
          <w:sz w:val="24"/>
          <w:szCs w:val="24"/>
        </w:rPr>
        <w:t>Real exports of goods increased $1.5 billion to $149.3 billion.</w:t>
      </w:r>
    </w:p>
    <w:p w14:paraId="0654CA4D" w14:textId="3A8850B8" w:rsidR="00D602E5" w:rsidRPr="00A07FF1" w:rsidRDefault="007D6D0D" w:rsidP="00674036">
      <w:pPr>
        <w:pStyle w:val="ListParagraph"/>
        <w:numPr>
          <w:ilvl w:val="0"/>
          <w:numId w:val="10"/>
        </w:numPr>
        <w:spacing w:after="120"/>
        <w:contextualSpacing w:val="0"/>
        <w:rPr>
          <w:rFonts w:cstheme="minorHAnsi"/>
          <w:noProof/>
          <w:sz w:val="24"/>
          <w:szCs w:val="24"/>
        </w:rPr>
      </w:pPr>
      <w:r w:rsidRPr="007D6D0D">
        <w:rPr>
          <w:rFonts w:cstheme="minorHAnsi"/>
          <w:noProof/>
          <w:sz w:val="24"/>
          <w:szCs w:val="24"/>
        </w:rPr>
        <w:t>Real imports of goods increased $5.8 billion to $229.8 billion.</w:t>
      </w:r>
    </w:p>
    <w:p w14:paraId="6E834DE5" w14:textId="77777777" w:rsidR="00320862" w:rsidRPr="00A07FF1" w:rsidRDefault="00490E68" w:rsidP="00320862">
      <w:pPr>
        <w:spacing w:after="0"/>
        <w:ind w:left="-360"/>
        <w:rPr>
          <w:rFonts w:cstheme="minorHAnsi"/>
          <w:b/>
          <w:noProof/>
          <w:sz w:val="24"/>
          <w:szCs w:val="24"/>
        </w:rPr>
      </w:pPr>
      <w:r w:rsidRPr="00A07FF1">
        <w:rPr>
          <w:rFonts w:cstheme="minorHAnsi"/>
          <w:b/>
          <w:noProof/>
          <w:sz w:val="24"/>
          <w:szCs w:val="24"/>
        </w:rPr>
        <w:t>Revisions</w:t>
      </w:r>
    </w:p>
    <w:p w14:paraId="07C4D335" w14:textId="0A72F587" w:rsidR="00BD0C32" w:rsidRPr="00DD7E81" w:rsidRDefault="007D6D0D" w:rsidP="001172C9">
      <w:pPr>
        <w:spacing w:after="120"/>
        <w:ind w:left="-360"/>
        <w:rPr>
          <w:rFonts w:cstheme="minorHAnsi"/>
          <w:noProof/>
          <w:sz w:val="24"/>
          <w:szCs w:val="24"/>
        </w:rPr>
      </w:pPr>
      <w:r w:rsidRPr="00DD7E81">
        <w:rPr>
          <w:rFonts w:cstheme="minorHAnsi"/>
          <w:noProof/>
          <w:sz w:val="24"/>
          <w:szCs w:val="24"/>
        </w:rPr>
        <w:t xml:space="preserve">In addition to revisions to source data for the November statistics, </w:t>
      </w:r>
      <w:r w:rsidRPr="00DD7E81">
        <w:rPr>
          <w:sz w:val="24"/>
          <w:szCs w:val="24"/>
        </w:rPr>
        <w:t xml:space="preserve">the seasonally adjusted goods data </w:t>
      </w:r>
      <w:proofErr w:type="gramStart"/>
      <w:r w:rsidRPr="00DD7E81">
        <w:rPr>
          <w:sz w:val="24"/>
          <w:szCs w:val="24"/>
        </w:rPr>
        <w:t>were revised</w:t>
      </w:r>
      <w:proofErr w:type="gramEnd"/>
      <w:r w:rsidRPr="00DD7E81">
        <w:rPr>
          <w:sz w:val="24"/>
          <w:szCs w:val="24"/>
        </w:rPr>
        <w:t xml:space="preserve"> for January through November so that the totals of the seasonally adjusted months equal the annual totals.</w:t>
      </w:r>
    </w:p>
    <w:p w14:paraId="72FC10D8" w14:textId="15889472" w:rsidR="00674036" w:rsidRPr="00A07FF1" w:rsidRDefault="007D6D0D" w:rsidP="00D6567F">
      <w:pPr>
        <w:spacing w:after="0"/>
        <w:ind w:left="-360"/>
        <w:rPr>
          <w:rFonts w:cstheme="minorHAnsi"/>
          <w:noProof/>
          <w:sz w:val="24"/>
          <w:szCs w:val="24"/>
        </w:rPr>
      </w:pPr>
      <w:r w:rsidRPr="007D6D0D">
        <w:rPr>
          <w:rFonts w:cstheme="minorHAnsi"/>
          <w:noProof/>
          <w:sz w:val="24"/>
          <w:szCs w:val="24"/>
        </w:rPr>
        <w:t>Revisions to November exports</w:t>
      </w:r>
    </w:p>
    <w:p w14:paraId="4B1F162B" w14:textId="04039BC0" w:rsidR="00674036" w:rsidRPr="00A07FF1" w:rsidRDefault="007D6D0D" w:rsidP="00326C99">
      <w:pPr>
        <w:pStyle w:val="ListParagraph"/>
        <w:numPr>
          <w:ilvl w:val="0"/>
          <w:numId w:val="11"/>
        </w:numPr>
        <w:tabs>
          <w:tab w:val="left" w:pos="5670"/>
        </w:tabs>
        <w:spacing w:after="0"/>
        <w:contextualSpacing w:val="0"/>
        <w:rPr>
          <w:rFonts w:cstheme="minorHAnsi"/>
          <w:noProof/>
          <w:sz w:val="24"/>
          <w:szCs w:val="24"/>
        </w:rPr>
      </w:pPr>
      <w:r w:rsidRPr="007D6D0D">
        <w:rPr>
          <w:rFonts w:cstheme="minorHAnsi"/>
          <w:noProof/>
          <w:sz w:val="24"/>
          <w:szCs w:val="24"/>
        </w:rPr>
        <w:t>Exports of goods were revised down $0.7 billion.</w:t>
      </w:r>
    </w:p>
    <w:p w14:paraId="02A25873" w14:textId="30B5D05A" w:rsidR="00674036" w:rsidRPr="00A07FF1" w:rsidRDefault="007D6D0D" w:rsidP="001172C9">
      <w:pPr>
        <w:pStyle w:val="ListParagraph"/>
        <w:numPr>
          <w:ilvl w:val="0"/>
          <w:numId w:val="10"/>
        </w:numPr>
        <w:spacing w:after="120"/>
        <w:contextualSpacing w:val="0"/>
        <w:rPr>
          <w:rFonts w:cstheme="minorHAnsi"/>
          <w:noProof/>
          <w:sz w:val="24"/>
          <w:szCs w:val="24"/>
        </w:rPr>
      </w:pPr>
      <w:r w:rsidRPr="007D6D0D">
        <w:rPr>
          <w:rFonts w:cstheme="minorHAnsi"/>
          <w:noProof/>
          <w:sz w:val="24"/>
          <w:szCs w:val="24"/>
        </w:rPr>
        <w:t>Exports of services were revised up $0.1 billion.</w:t>
      </w:r>
    </w:p>
    <w:p w14:paraId="2927EBAD" w14:textId="7B2050CD" w:rsidR="00674036" w:rsidRPr="00A07FF1" w:rsidRDefault="007D6D0D" w:rsidP="00D6567F">
      <w:pPr>
        <w:spacing w:after="0"/>
        <w:ind w:left="-360"/>
        <w:rPr>
          <w:rFonts w:cstheme="minorHAnsi"/>
          <w:noProof/>
          <w:sz w:val="24"/>
          <w:szCs w:val="24"/>
        </w:rPr>
      </w:pPr>
      <w:r w:rsidRPr="007D6D0D">
        <w:rPr>
          <w:rFonts w:cstheme="minorHAnsi"/>
          <w:noProof/>
          <w:sz w:val="24"/>
          <w:szCs w:val="24"/>
        </w:rPr>
        <w:t>Revisions to November imports</w:t>
      </w:r>
    </w:p>
    <w:p w14:paraId="7B8912A7" w14:textId="0D913D71" w:rsidR="00674036" w:rsidRPr="00A07FF1" w:rsidRDefault="007D6D0D" w:rsidP="001172C9">
      <w:pPr>
        <w:pStyle w:val="ListParagraph"/>
        <w:numPr>
          <w:ilvl w:val="0"/>
          <w:numId w:val="10"/>
        </w:numPr>
        <w:spacing w:after="0"/>
        <w:contextualSpacing w:val="0"/>
        <w:rPr>
          <w:rFonts w:cstheme="minorHAnsi"/>
          <w:noProof/>
          <w:sz w:val="24"/>
          <w:szCs w:val="24"/>
        </w:rPr>
      </w:pPr>
      <w:r w:rsidRPr="007D6D0D">
        <w:rPr>
          <w:rFonts w:cstheme="minorHAnsi"/>
          <w:noProof/>
          <w:sz w:val="24"/>
          <w:szCs w:val="24"/>
        </w:rPr>
        <w:t xml:space="preserve">Imports of goods were revised up </w:t>
      </w:r>
      <w:r w:rsidR="00E072A5">
        <w:rPr>
          <w:rFonts w:cstheme="minorHAnsi"/>
          <w:noProof/>
          <w:sz w:val="24"/>
          <w:szCs w:val="24"/>
        </w:rPr>
        <w:t>less than $0.1</w:t>
      </w:r>
      <w:r w:rsidRPr="007D6D0D">
        <w:rPr>
          <w:rFonts w:cstheme="minorHAnsi"/>
          <w:noProof/>
          <w:sz w:val="24"/>
          <w:szCs w:val="24"/>
        </w:rPr>
        <w:t xml:space="preserve"> billion.</w:t>
      </w:r>
    </w:p>
    <w:p w14:paraId="19DE2784" w14:textId="3E8FDC64" w:rsidR="00490E68" w:rsidRPr="00A07FF1" w:rsidRDefault="007D6D0D" w:rsidP="00674036">
      <w:pPr>
        <w:pStyle w:val="ListParagraph"/>
        <w:numPr>
          <w:ilvl w:val="0"/>
          <w:numId w:val="10"/>
        </w:numPr>
        <w:spacing w:after="120"/>
        <w:contextualSpacing w:val="0"/>
        <w:rPr>
          <w:rFonts w:cstheme="minorHAnsi"/>
          <w:noProof/>
          <w:sz w:val="24"/>
          <w:szCs w:val="24"/>
        </w:rPr>
      </w:pPr>
      <w:r w:rsidRPr="007D6D0D">
        <w:rPr>
          <w:rFonts w:cstheme="minorHAnsi"/>
          <w:noProof/>
          <w:sz w:val="24"/>
          <w:szCs w:val="24"/>
        </w:rPr>
        <w:t xml:space="preserve">Imports of services were revised up </w:t>
      </w:r>
      <w:r w:rsidR="00E072A5">
        <w:rPr>
          <w:rFonts w:cstheme="minorHAnsi"/>
          <w:noProof/>
          <w:sz w:val="24"/>
          <w:szCs w:val="24"/>
        </w:rPr>
        <w:t>less than $0.1</w:t>
      </w:r>
      <w:r w:rsidRPr="007D6D0D">
        <w:rPr>
          <w:rFonts w:cstheme="minorHAnsi"/>
          <w:noProof/>
          <w:sz w:val="24"/>
          <w:szCs w:val="24"/>
        </w:rPr>
        <w:t xml:space="preserve"> billion.</w:t>
      </w:r>
    </w:p>
    <w:p w14:paraId="420247DF" w14:textId="4E0D7DF6" w:rsidR="00674036" w:rsidRPr="00A07FF1" w:rsidRDefault="00490E68" w:rsidP="00AC7901">
      <w:pPr>
        <w:spacing w:after="0"/>
        <w:ind w:left="-360"/>
        <w:rPr>
          <w:rFonts w:cstheme="minorHAnsi"/>
          <w:noProof/>
          <w:sz w:val="24"/>
          <w:szCs w:val="24"/>
        </w:rPr>
      </w:pPr>
      <w:r w:rsidRPr="00A07FF1">
        <w:rPr>
          <w:rFonts w:cstheme="minorHAnsi"/>
          <w:b/>
          <w:noProof/>
          <w:sz w:val="24"/>
          <w:szCs w:val="24"/>
        </w:rPr>
        <w:t>Goods by Selected Countries and Areas: Monthly – Census Basis (Exhibit 19)</w:t>
      </w:r>
      <w:r w:rsidRPr="00A07FF1">
        <w:rPr>
          <w:rFonts w:cstheme="minorHAnsi"/>
          <w:b/>
          <w:noProof/>
          <w:sz w:val="24"/>
          <w:szCs w:val="24"/>
        </w:rPr>
        <w:br/>
      </w:r>
      <w:r w:rsidR="007D6D0D" w:rsidRPr="007D6D0D">
        <w:rPr>
          <w:rFonts w:cstheme="minorHAnsi"/>
          <w:noProof/>
          <w:sz w:val="24"/>
          <w:szCs w:val="24"/>
        </w:rPr>
        <w:t>The December figures show surpluses, in billions of dollars, with South and Central America ($4.6), Hong Kong ($1.9), Brazil ($0.9), OPEC ($0.7), United Kingdom ($0.6), Singapore ($0.5), and Saudi Arabia ($0.3). Deficits were recorded, in billions of dollars, with China ($25.7), European Union ($14.0), Mexico ($9.4), Germany ($5.5), Japan ($4.4), Canada ($4.4), Italy ($2.9), Taiwan ($2.4), South Korea ($1.9), India ($1.7), and France ($0.3</w:t>
      </w:r>
      <w:r w:rsidR="007D6D0D" w:rsidRPr="007D6D0D">
        <w:rPr>
          <w:rFonts w:cstheme="minorHAnsi"/>
          <w:sz w:val="24"/>
          <w:szCs w:val="24"/>
        </w:rPr>
        <w:t>).</w:t>
      </w:r>
    </w:p>
    <w:p w14:paraId="6F26340E" w14:textId="1DA4CC53" w:rsidR="005D6651" w:rsidRPr="00884F69" w:rsidRDefault="00AF3BB3" w:rsidP="00AF3BB3">
      <w:pPr>
        <w:pStyle w:val="ListParagraph"/>
        <w:numPr>
          <w:ilvl w:val="0"/>
          <w:numId w:val="13"/>
        </w:numPr>
        <w:spacing w:after="240"/>
        <w:rPr>
          <w:rFonts w:cstheme="minorHAnsi"/>
          <w:noProof/>
          <w:sz w:val="24"/>
          <w:szCs w:val="24"/>
        </w:rPr>
      </w:pPr>
      <w:r w:rsidRPr="00AF3BB3">
        <w:rPr>
          <w:rFonts w:cstheme="minorHAnsi"/>
          <w:noProof/>
          <w:sz w:val="24"/>
          <w:szCs w:val="24"/>
        </w:rPr>
        <w:t>The deficit with Canada increased $2.4 billion to $4.4 billion in December. Exports increased $0.1 billion to $23.9 billion and imports increased $2.5 billion to $28.2 billion.</w:t>
      </w:r>
    </w:p>
    <w:p w14:paraId="0AD1C9EB" w14:textId="2D96FC33" w:rsidR="00310EEA" w:rsidRPr="00884F69" w:rsidRDefault="00AF3BB3" w:rsidP="00AF3BB3">
      <w:pPr>
        <w:pStyle w:val="ListParagraph"/>
        <w:numPr>
          <w:ilvl w:val="0"/>
          <w:numId w:val="13"/>
        </w:numPr>
        <w:spacing w:after="240"/>
        <w:rPr>
          <w:rFonts w:cstheme="minorHAnsi"/>
          <w:noProof/>
          <w:sz w:val="24"/>
          <w:szCs w:val="24"/>
        </w:rPr>
      </w:pPr>
      <w:r w:rsidRPr="00AF3BB3">
        <w:rPr>
          <w:rFonts w:cstheme="minorHAnsi"/>
          <w:noProof/>
          <w:sz w:val="24"/>
          <w:szCs w:val="24"/>
        </w:rPr>
        <w:t>The deficit with Mexico increased $0.9 billion to $9.4 billion in December. Exports decreased $0.6 billion to $20.2 billion and imports increased $0.3 billion to $29.6 billion.</w:t>
      </w:r>
    </w:p>
    <w:p w14:paraId="539A6195" w14:textId="3B71657C" w:rsidR="00884F69" w:rsidRDefault="00AF3BB3" w:rsidP="00AF3BB3">
      <w:pPr>
        <w:pStyle w:val="ListParagraph"/>
        <w:numPr>
          <w:ilvl w:val="0"/>
          <w:numId w:val="13"/>
        </w:numPr>
        <w:spacing w:after="240"/>
        <w:rPr>
          <w:rFonts w:cstheme="minorHAnsi"/>
          <w:noProof/>
          <w:sz w:val="24"/>
          <w:szCs w:val="24"/>
        </w:rPr>
      </w:pPr>
      <w:r w:rsidRPr="00AF3BB3">
        <w:rPr>
          <w:rFonts w:cstheme="minorHAnsi"/>
          <w:noProof/>
          <w:sz w:val="24"/>
          <w:szCs w:val="24"/>
        </w:rPr>
        <w:t>The deficit with Japan decreased $1.3 billion to $4.4 billion in December. Exports increased $0.9 billion to $6.7 billion and imports decreased $0.4 billion to $11.1 billion.</w:t>
      </w:r>
    </w:p>
    <w:p w14:paraId="084F0AD6" w14:textId="77777777" w:rsidR="00D10DF7" w:rsidRPr="00D10DF7" w:rsidRDefault="00D10DF7" w:rsidP="00D10DF7">
      <w:pPr>
        <w:spacing w:after="240"/>
        <w:rPr>
          <w:rFonts w:cstheme="minorHAnsi"/>
          <w:noProof/>
          <w:sz w:val="24"/>
          <w:szCs w:val="24"/>
        </w:rPr>
      </w:pPr>
    </w:p>
    <w:p w14:paraId="121547DC" w14:textId="77777777" w:rsidR="00D10DF7" w:rsidRPr="00D10DF7" w:rsidRDefault="00D10DF7" w:rsidP="00D10DF7">
      <w:pPr>
        <w:spacing w:after="240"/>
        <w:rPr>
          <w:rFonts w:cstheme="minorHAnsi"/>
          <w:noProof/>
          <w:sz w:val="24"/>
          <w:szCs w:val="24"/>
        </w:rPr>
      </w:pPr>
    </w:p>
    <w:p w14:paraId="7B45EBEB" w14:textId="62630D73" w:rsidR="00D10DF7" w:rsidRPr="007541B1" w:rsidRDefault="00D10DF7" w:rsidP="00D10DF7">
      <w:pPr>
        <w:spacing w:after="120"/>
        <w:ind w:left="-360"/>
        <w:rPr>
          <w:rFonts w:cstheme="minorHAnsi"/>
          <w:b/>
          <w:noProof/>
          <w:sz w:val="24"/>
          <w:szCs w:val="24"/>
        </w:rPr>
      </w:pPr>
      <w:r w:rsidRPr="007541B1">
        <w:rPr>
          <w:rFonts w:cstheme="minorHAnsi"/>
          <w:b/>
          <w:noProof/>
          <w:sz w:val="24"/>
          <w:szCs w:val="24"/>
        </w:rPr>
        <w:lastRenderedPageBreak/>
        <w:t>Annual Summary for 201</w:t>
      </w:r>
      <w:r w:rsidR="004261DC">
        <w:rPr>
          <w:rFonts w:cstheme="minorHAnsi"/>
          <w:b/>
          <w:noProof/>
          <w:sz w:val="24"/>
          <w:szCs w:val="24"/>
        </w:rPr>
        <w:t>9</w:t>
      </w:r>
    </w:p>
    <w:p w14:paraId="4478881D" w14:textId="77777777" w:rsidR="00D10DF7" w:rsidRPr="007541B1" w:rsidRDefault="00D10DF7" w:rsidP="00D10DF7">
      <w:pPr>
        <w:spacing w:after="0"/>
        <w:ind w:left="-360"/>
        <w:rPr>
          <w:rFonts w:cstheme="minorHAnsi"/>
          <w:b/>
          <w:noProof/>
          <w:sz w:val="24"/>
          <w:szCs w:val="24"/>
        </w:rPr>
      </w:pPr>
      <w:r>
        <w:rPr>
          <w:rFonts w:cstheme="minorHAnsi"/>
          <w:b/>
          <w:noProof/>
          <w:sz w:val="24"/>
          <w:szCs w:val="24"/>
        </w:rPr>
        <w:t>Exports, Imports, and Balance (E</w:t>
      </w:r>
      <w:r w:rsidRPr="007541B1">
        <w:rPr>
          <w:rFonts w:cstheme="minorHAnsi"/>
          <w:b/>
          <w:noProof/>
          <w:sz w:val="24"/>
          <w:szCs w:val="24"/>
        </w:rPr>
        <w:t>xhibit 1)</w:t>
      </w:r>
    </w:p>
    <w:p w14:paraId="5F0A902F" w14:textId="46707E9D" w:rsidR="00D10DF7" w:rsidRPr="009E3D69" w:rsidRDefault="00D10DF7" w:rsidP="00D10DF7">
      <w:pPr>
        <w:spacing w:after="120"/>
        <w:ind w:left="-360"/>
        <w:rPr>
          <w:rFonts w:cstheme="minorHAnsi"/>
          <w:noProof/>
          <w:sz w:val="24"/>
          <w:szCs w:val="24"/>
        </w:rPr>
      </w:pPr>
      <w:r>
        <w:rPr>
          <w:rFonts w:cstheme="minorHAnsi"/>
          <w:noProof/>
          <w:sz w:val="24"/>
          <w:szCs w:val="24"/>
        </w:rPr>
        <w:drawing>
          <wp:anchor distT="0" distB="0" distL="114300" distR="114300" simplePos="0" relativeHeight="251664384" behindDoc="0" locked="0" layoutInCell="1" allowOverlap="1" wp14:anchorId="2C5ECC84" wp14:editId="7FEB3896">
            <wp:simplePos x="0" y="0"/>
            <wp:positionH relativeFrom="column">
              <wp:posOffset>3583940</wp:posOffset>
            </wp:positionH>
            <wp:positionV relativeFrom="paragraph">
              <wp:posOffset>433705</wp:posOffset>
            </wp:positionV>
            <wp:extent cx="2750820" cy="1997075"/>
            <wp:effectExtent l="0" t="0" r="0" b="317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nnual.png"/>
                    <pic:cNvPicPr preferRelativeResize="0"/>
                  </pic:nvPicPr>
                  <pic:blipFill>
                    <a:blip r:embed="rId21" cstate="print">
                      <a:extLst>
                        <a:ext uri="{28A0092B-C50C-407E-A947-70E740481C1C}">
                          <a14:useLocalDpi xmlns:a14="http://schemas.microsoft.com/office/drawing/2010/main" val="0"/>
                        </a:ext>
                      </a:extLst>
                    </a:blip>
                    <a:stretch>
                      <a:fillRect/>
                    </a:stretch>
                  </pic:blipFill>
                  <pic:spPr>
                    <a:xfrm>
                      <a:off x="0" y="0"/>
                      <a:ext cx="2750820" cy="1997075"/>
                    </a:xfrm>
                    <a:prstGeom prst="rect">
                      <a:avLst/>
                    </a:prstGeom>
                  </pic:spPr>
                </pic:pic>
              </a:graphicData>
            </a:graphic>
            <wp14:sizeRelH relativeFrom="margin">
              <wp14:pctWidth>0</wp14:pctWidth>
            </wp14:sizeRelH>
            <wp14:sizeRelV relativeFrom="margin">
              <wp14:pctHeight>0</wp14:pctHeight>
            </wp14:sizeRelV>
          </wp:anchor>
        </w:drawing>
      </w:r>
      <w:r w:rsidR="004261DC" w:rsidRPr="004261DC">
        <w:rPr>
          <w:rFonts w:cstheme="minorHAnsi"/>
          <w:noProof/>
          <w:sz w:val="24"/>
          <w:szCs w:val="24"/>
        </w:rPr>
        <w:t>For 2019, the goods and services deficit was $616.8 billion, down $10.9 billion from $627.7 billion in 2018.  Exports were $2,499.8 billion, down $1.5 billion from 2018. Imports were $3,116.5 billion, down $12.5 billion from 2018.</w:t>
      </w:r>
    </w:p>
    <w:p w14:paraId="334A3823" w14:textId="0F6FFE65" w:rsidR="00D10DF7" w:rsidRPr="009E3D69" w:rsidRDefault="004261DC" w:rsidP="00D10DF7">
      <w:pPr>
        <w:spacing w:after="120"/>
        <w:ind w:left="-360"/>
        <w:rPr>
          <w:rFonts w:cstheme="minorHAnsi"/>
          <w:noProof/>
          <w:sz w:val="24"/>
          <w:szCs w:val="24"/>
        </w:rPr>
      </w:pPr>
      <w:r w:rsidRPr="004261DC">
        <w:rPr>
          <w:rFonts w:cstheme="minorHAnsi"/>
          <w:noProof/>
          <w:sz w:val="24"/>
          <w:szCs w:val="24"/>
        </w:rPr>
        <w:t xml:space="preserve">The 2019 </w:t>
      </w:r>
      <w:r w:rsidR="00CB1263">
        <w:rPr>
          <w:rFonts w:cstheme="minorHAnsi"/>
          <w:noProof/>
          <w:sz w:val="24"/>
          <w:szCs w:val="24"/>
        </w:rPr>
        <w:t>decrease</w:t>
      </w:r>
      <w:r w:rsidRPr="004261DC">
        <w:rPr>
          <w:rFonts w:cstheme="minorHAnsi"/>
          <w:noProof/>
          <w:sz w:val="24"/>
          <w:szCs w:val="24"/>
        </w:rPr>
        <w:t xml:space="preserve"> in the goods and services deficit reflected a decrease in the goods deficit of $21.4 </w:t>
      </w:r>
      <w:r w:rsidR="00CB1263">
        <w:rPr>
          <w:rFonts w:cstheme="minorHAnsi"/>
          <w:noProof/>
          <w:sz w:val="24"/>
          <w:szCs w:val="24"/>
        </w:rPr>
        <w:t xml:space="preserve">billion, </w:t>
      </w:r>
      <w:r w:rsidRPr="004261DC">
        <w:rPr>
          <w:rFonts w:cstheme="minorHAnsi"/>
          <w:noProof/>
          <w:sz w:val="24"/>
          <w:szCs w:val="24"/>
        </w:rPr>
        <w:t>or 2.4 percent</w:t>
      </w:r>
      <w:r w:rsidR="00CB1263">
        <w:rPr>
          <w:rFonts w:cstheme="minorHAnsi"/>
          <w:noProof/>
          <w:sz w:val="24"/>
          <w:szCs w:val="24"/>
        </w:rPr>
        <w:t>,</w:t>
      </w:r>
      <w:r w:rsidRPr="004261DC">
        <w:rPr>
          <w:rFonts w:cstheme="minorHAnsi"/>
          <w:noProof/>
          <w:sz w:val="24"/>
          <w:szCs w:val="24"/>
        </w:rPr>
        <w:t xml:space="preserve"> to $866.0 billion and a decrease in the services surplus of $10.4 billion</w:t>
      </w:r>
      <w:r w:rsidR="00CB1263">
        <w:rPr>
          <w:rFonts w:cstheme="minorHAnsi"/>
          <w:noProof/>
          <w:sz w:val="24"/>
          <w:szCs w:val="24"/>
        </w:rPr>
        <w:t>,</w:t>
      </w:r>
      <w:r w:rsidRPr="004261DC">
        <w:rPr>
          <w:rFonts w:cstheme="minorHAnsi"/>
          <w:noProof/>
          <w:sz w:val="24"/>
          <w:szCs w:val="24"/>
        </w:rPr>
        <w:t xml:space="preserve"> or 4.0 percent</w:t>
      </w:r>
      <w:r w:rsidR="00CB1263">
        <w:rPr>
          <w:rFonts w:cstheme="minorHAnsi"/>
          <w:noProof/>
          <w:sz w:val="24"/>
          <w:szCs w:val="24"/>
        </w:rPr>
        <w:t>,</w:t>
      </w:r>
      <w:r w:rsidRPr="004261DC">
        <w:rPr>
          <w:rFonts w:cstheme="minorHAnsi"/>
          <w:noProof/>
          <w:sz w:val="24"/>
          <w:szCs w:val="24"/>
        </w:rPr>
        <w:t xml:space="preserve"> to $249.2 billion.</w:t>
      </w:r>
    </w:p>
    <w:p w14:paraId="4158611E" w14:textId="7E1DA812" w:rsidR="00D10DF7" w:rsidRPr="007541B1" w:rsidRDefault="00D10DF7" w:rsidP="00D10DF7">
      <w:pPr>
        <w:spacing w:after="120"/>
        <w:ind w:left="-360"/>
        <w:rPr>
          <w:rFonts w:cstheme="minorHAnsi"/>
          <w:noProof/>
          <w:color w:val="FF0000"/>
          <w:sz w:val="24"/>
          <w:szCs w:val="24"/>
        </w:rPr>
      </w:pPr>
      <w:r w:rsidRPr="009D212F">
        <w:rPr>
          <w:rFonts w:cstheme="minorHAnsi"/>
          <w:noProof/>
          <w:sz w:val="24"/>
          <w:szCs w:val="24"/>
        </w:rPr>
        <w:t xml:space="preserve">As a percentage of U.S. gross domestic product, the goods and services deficit was </w:t>
      </w:r>
      <w:r w:rsidR="009D212F" w:rsidRPr="009D212F">
        <w:rPr>
          <w:rFonts w:cstheme="minorHAnsi"/>
          <w:noProof/>
          <w:sz w:val="24"/>
          <w:szCs w:val="24"/>
        </w:rPr>
        <w:t>2.9</w:t>
      </w:r>
      <w:r w:rsidRPr="009D212F">
        <w:rPr>
          <w:rFonts w:cstheme="minorHAnsi"/>
          <w:noProof/>
          <w:sz w:val="24"/>
          <w:szCs w:val="24"/>
        </w:rPr>
        <w:t xml:space="preserve"> percent in 201</w:t>
      </w:r>
      <w:r w:rsidR="009D212F" w:rsidRPr="009D212F">
        <w:rPr>
          <w:rFonts w:cstheme="minorHAnsi"/>
          <w:noProof/>
          <w:sz w:val="24"/>
          <w:szCs w:val="24"/>
        </w:rPr>
        <w:t>9</w:t>
      </w:r>
      <w:r w:rsidRPr="009D212F">
        <w:rPr>
          <w:rFonts w:cstheme="minorHAnsi"/>
          <w:noProof/>
          <w:sz w:val="24"/>
          <w:szCs w:val="24"/>
        </w:rPr>
        <w:t xml:space="preserve">, </w:t>
      </w:r>
      <w:r w:rsidR="009D212F" w:rsidRPr="009D212F">
        <w:rPr>
          <w:rFonts w:cstheme="minorHAnsi"/>
          <w:noProof/>
          <w:sz w:val="24"/>
          <w:szCs w:val="24"/>
        </w:rPr>
        <w:t>down</w:t>
      </w:r>
      <w:r w:rsidRPr="009D212F">
        <w:rPr>
          <w:rFonts w:cstheme="minorHAnsi"/>
          <w:noProof/>
          <w:sz w:val="24"/>
          <w:szCs w:val="24"/>
        </w:rPr>
        <w:t xml:space="preserve"> from </w:t>
      </w:r>
      <w:r w:rsidR="009D212F" w:rsidRPr="009D212F">
        <w:rPr>
          <w:rFonts w:cstheme="minorHAnsi"/>
          <w:noProof/>
          <w:sz w:val="24"/>
          <w:szCs w:val="24"/>
        </w:rPr>
        <w:t>3.0</w:t>
      </w:r>
      <w:r w:rsidRPr="009D212F">
        <w:rPr>
          <w:rFonts w:cstheme="minorHAnsi"/>
          <w:noProof/>
          <w:sz w:val="24"/>
          <w:szCs w:val="24"/>
        </w:rPr>
        <w:t xml:space="preserve"> percent in 201</w:t>
      </w:r>
      <w:r w:rsidR="009D212F" w:rsidRPr="009D212F">
        <w:rPr>
          <w:rFonts w:cstheme="minorHAnsi"/>
          <w:noProof/>
          <w:sz w:val="24"/>
          <w:szCs w:val="24"/>
        </w:rPr>
        <w:t>8</w:t>
      </w:r>
      <w:r w:rsidRPr="009D212F">
        <w:rPr>
          <w:rFonts w:cstheme="minorHAnsi"/>
          <w:noProof/>
          <w:sz w:val="24"/>
          <w:szCs w:val="24"/>
        </w:rPr>
        <w:t>.</w:t>
      </w:r>
    </w:p>
    <w:p w14:paraId="7692A3E5" w14:textId="77777777" w:rsidR="00D10DF7" w:rsidRPr="007541B1" w:rsidRDefault="00D10DF7" w:rsidP="00D10DF7">
      <w:pPr>
        <w:spacing w:after="0"/>
        <w:ind w:left="-360"/>
        <w:rPr>
          <w:rFonts w:cstheme="minorHAnsi"/>
          <w:b/>
          <w:noProof/>
          <w:sz w:val="24"/>
          <w:szCs w:val="24"/>
        </w:rPr>
      </w:pPr>
      <w:r>
        <w:rPr>
          <w:rFonts w:cstheme="minorHAnsi"/>
          <w:b/>
          <w:noProof/>
          <w:sz w:val="24"/>
          <w:szCs w:val="24"/>
        </w:rPr>
        <w:t>Exports (E</w:t>
      </w:r>
      <w:r w:rsidRPr="007541B1">
        <w:rPr>
          <w:rFonts w:cstheme="minorHAnsi"/>
          <w:b/>
          <w:noProof/>
          <w:sz w:val="24"/>
          <w:szCs w:val="24"/>
        </w:rPr>
        <w:t>xhibits 3, 6, and 7)</w:t>
      </w:r>
    </w:p>
    <w:p w14:paraId="72A68CE3" w14:textId="2C0E62CE" w:rsidR="00D10DF7" w:rsidRPr="007541B1" w:rsidRDefault="004261DC" w:rsidP="00D10DF7">
      <w:pPr>
        <w:spacing w:after="120"/>
        <w:ind w:left="-360"/>
        <w:rPr>
          <w:rFonts w:cstheme="minorHAnsi"/>
          <w:noProof/>
          <w:sz w:val="24"/>
          <w:szCs w:val="24"/>
        </w:rPr>
      </w:pPr>
      <w:r w:rsidRPr="004261DC">
        <w:rPr>
          <w:rFonts w:cstheme="minorHAnsi"/>
          <w:noProof/>
          <w:sz w:val="24"/>
          <w:szCs w:val="24"/>
        </w:rPr>
        <w:t>Exports of goods decreased $21.</w:t>
      </w:r>
      <w:r w:rsidR="008E15C1">
        <w:rPr>
          <w:rFonts w:cstheme="minorHAnsi"/>
          <w:noProof/>
          <w:sz w:val="24"/>
          <w:szCs w:val="24"/>
        </w:rPr>
        <w:t>3</w:t>
      </w:r>
      <w:r w:rsidRPr="004261DC">
        <w:rPr>
          <w:rFonts w:cstheme="minorHAnsi"/>
          <w:noProof/>
          <w:sz w:val="24"/>
          <w:szCs w:val="24"/>
        </w:rPr>
        <w:t xml:space="preserve"> billion to $1,65</w:t>
      </w:r>
      <w:r w:rsidR="008E15C1">
        <w:rPr>
          <w:rFonts w:cstheme="minorHAnsi"/>
          <w:noProof/>
          <w:sz w:val="24"/>
          <w:szCs w:val="24"/>
        </w:rPr>
        <w:t>3.0</w:t>
      </w:r>
      <w:r w:rsidRPr="004261DC">
        <w:rPr>
          <w:rFonts w:cstheme="minorHAnsi"/>
          <w:noProof/>
          <w:sz w:val="24"/>
          <w:szCs w:val="24"/>
        </w:rPr>
        <w:t xml:space="preserve"> billion in 2019.</w:t>
      </w:r>
    </w:p>
    <w:p w14:paraId="7A77D4AD" w14:textId="09A377DC" w:rsidR="00D10DF7" w:rsidRPr="007541B1" w:rsidRDefault="004261DC" w:rsidP="00D10DF7">
      <w:pPr>
        <w:spacing w:after="120"/>
        <w:ind w:left="-360" w:firstLine="360"/>
        <w:rPr>
          <w:rFonts w:cstheme="minorHAnsi"/>
          <w:noProof/>
          <w:sz w:val="24"/>
          <w:szCs w:val="24"/>
        </w:rPr>
      </w:pPr>
      <w:r w:rsidRPr="004261DC">
        <w:rPr>
          <w:rFonts w:cstheme="minorHAnsi"/>
          <w:noProof/>
          <w:sz w:val="24"/>
          <w:szCs w:val="24"/>
        </w:rPr>
        <w:t>Exports of goods on a Census basis decreased $20.5 billion.</w:t>
      </w:r>
    </w:p>
    <w:p w14:paraId="6226E68F" w14:textId="59022C82" w:rsidR="00D10DF7" w:rsidRPr="00E77873" w:rsidRDefault="00094D6D" w:rsidP="00094D6D">
      <w:pPr>
        <w:numPr>
          <w:ilvl w:val="1"/>
          <w:numId w:val="3"/>
        </w:numPr>
        <w:spacing w:after="0"/>
        <w:rPr>
          <w:rFonts w:cstheme="minorHAnsi"/>
          <w:noProof/>
          <w:sz w:val="24"/>
          <w:szCs w:val="24"/>
        </w:rPr>
      </w:pPr>
      <w:r w:rsidRPr="00E77873">
        <w:rPr>
          <w:rFonts w:cstheme="minorHAnsi"/>
          <w:noProof/>
          <w:sz w:val="24"/>
          <w:szCs w:val="24"/>
        </w:rPr>
        <w:t>Capital goods decreased $15.8 billion</w:t>
      </w:r>
      <w:r w:rsidR="00D10DF7" w:rsidRPr="00E77873">
        <w:rPr>
          <w:rFonts w:cstheme="minorHAnsi"/>
          <w:noProof/>
          <w:sz w:val="24"/>
          <w:szCs w:val="24"/>
        </w:rPr>
        <w:t>.</w:t>
      </w:r>
    </w:p>
    <w:p w14:paraId="0967E394" w14:textId="68AD5F21" w:rsidR="00D10DF7" w:rsidRPr="00E77873" w:rsidRDefault="00E77873" w:rsidP="00E77873">
      <w:pPr>
        <w:pStyle w:val="ListParagraph"/>
        <w:numPr>
          <w:ilvl w:val="2"/>
          <w:numId w:val="3"/>
        </w:numPr>
        <w:spacing w:after="0"/>
        <w:rPr>
          <w:rFonts w:cstheme="minorHAnsi"/>
          <w:noProof/>
          <w:sz w:val="24"/>
          <w:szCs w:val="24"/>
        </w:rPr>
      </w:pPr>
      <w:r w:rsidRPr="00E77873">
        <w:rPr>
          <w:rFonts w:cstheme="minorHAnsi"/>
          <w:noProof/>
          <w:sz w:val="24"/>
          <w:szCs w:val="24"/>
        </w:rPr>
        <w:t>Civilian aircraft decreased $12.6 billion</w:t>
      </w:r>
    </w:p>
    <w:p w14:paraId="1783A65C" w14:textId="46BF8CE3" w:rsidR="00D10DF7" w:rsidRPr="00E77873" w:rsidRDefault="00E77873" w:rsidP="00E77873">
      <w:pPr>
        <w:numPr>
          <w:ilvl w:val="1"/>
          <w:numId w:val="3"/>
        </w:numPr>
        <w:spacing w:after="0"/>
        <w:rPr>
          <w:rFonts w:cstheme="minorHAnsi"/>
          <w:noProof/>
          <w:sz w:val="24"/>
          <w:szCs w:val="24"/>
        </w:rPr>
      </w:pPr>
      <w:r w:rsidRPr="00E77873">
        <w:rPr>
          <w:rFonts w:cstheme="minorHAnsi"/>
          <w:noProof/>
          <w:sz w:val="24"/>
          <w:szCs w:val="24"/>
        </w:rPr>
        <w:t>Industrial supplies and materials decreased $11.1 billion</w:t>
      </w:r>
      <w:r w:rsidR="00D10DF7" w:rsidRPr="00E77873">
        <w:rPr>
          <w:rFonts w:cstheme="minorHAnsi"/>
          <w:noProof/>
          <w:sz w:val="24"/>
          <w:szCs w:val="24"/>
        </w:rPr>
        <w:t>.</w:t>
      </w:r>
    </w:p>
    <w:p w14:paraId="3091DDEE" w14:textId="05DF315A" w:rsidR="00D10DF7" w:rsidRPr="00E77873" w:rsidRDefault="00E77873" w:rsidP="00E77873">
      <w:pPr>
        <w:pStyle w:val="ListParagraph"/>
        <w:numPr>
          <w:ilvl w:val="2"/>
          <w:numId w:val="3"/>
        </w:numPr>
        <w:spacing w:after="0"/>
        <w:rPr>
          <w:rFonts w:cstheme="minorHAnsi"/>
          <w:noProof/>
          <w:sz w:val="24"/>
          <w:szCs w:val="24"/>
        </w:rPr>
      </w:pPr>
      <w:r w:rsidRPr="00E77873">
        <w:rPr>
          <w:rFonts w:cstheme="minorHAnsi"/>
          <w:noProof/>
          <w:sz w:val="24"/>
          <w:szCs w:val="24"/>
        </w:rPr>
        <w:t>Other petroleum products decreased $7.6 billion</w:t>
      </w:r>
      <w:r w:rsidR="00D10DF7" w:rsidRPr="00E77873">
        <w:rPr>
          <w:rFonts w:cstheme="minorHAnsi"/>
          <w:noProof/>
          <w:sz w:val="24"/>
          <w:szCs w:val="24"/>
        </w:rPr>
        <w:t>.</w:t>
      </w:r>
    </w:p>
    <w:p w14:paraId="66FBCA60" w14:textId="0C07BA29" w:rsidR="00D10DF7" w:rsidRPr="00E77873" w:rsidRDefault="00E77873" w:rsidP="00AC7901">
      <w:pPr>
        <w:pStyle w:val="ListParagraph"/>
        <w:numPr>
          <w:ilvl w:val="1"/>
          <w:numId w:val="3"/>
        </w:numPr>
        <w:spacing w:after="120"/>
        <w:rPr>
          <w:rFonts w:cstheme="minorHAnsi"/>
          <w:noProof/>
          <w:sz w:val="24"/>
          <w:szCs w:val="24"/>
        </w:rPr>
      </w:pPr>
      <w:r w:rsidRPr="00E77873">
        <w:rPr>
          <w:rFonts w:cstheme="minorHAnsi"/>
          <w:noProof/>
          <w:sz w:val="24"/>
          <w:szCs w:val="24"/>
        </w:rPr>
        <w:t>Other goods increased $5.1 billion</w:t>
      </w:r>
      <w:r w:rsidR="00D10DF7" w:rsidRPr="00E77873">
        <w:rPr>
          <w:rFonts w:cstheme="minorHAnsi"/>
          <w:noProof/>
          <w:sz w:val="24"/>
          <w:szCs w:val="24"/>
        </w:rPr>
        <w:t>.</w:t>
      </w:r>
    </w:p>
    <w:p w14:paraId="78D37598" w14:textId="5E39D58E" w:rsidR="00D10DF7" w:rsidRPr="007541B1" w:rsidRDefault="00105853" w:rsidP="00D10DF7">
      <w:pPr>
        <w:rPr>
          <w:rFonts w:cstheme="minorHAnsi"/>
          <w:noProof/>
          <w:sz w:val="24"/>
          <w:szCs w:val="24"/>
        </w:rPr>
      </w:pPr>
      <w:r w:rsidRPr="00105853">
        <w:rPr>
          <w:rFonts w:cstheme="minorHAnsi"/>
          <w:noProof/>
          <w:sz w:val="24"/>
          <w:szCs w:val="24"/>
        </w:rPr>
        <w:t>Net balance of payments adjustments decreased $</w:t>
      </w:r>
      <w:r w:rsidR="00064A7B">
        <w:rPr>
          <w:rFonts w:cstheme="minorHAnsi"/>
          <w:noProof/>
          <w:sz w:val="24"/>
          <w:szCs w:val="24"/>
        </w:rPr>
        <w:t>0.8</w:t>
      </w:r>
      <w:r w:rsidRPr="00105853">
        <w:rPr>
          <w:rFonts w:cstheme="minorHAnsi"/>
          <w:noProof/>
          <w:sz w:val="24"/>
          <w:szCs w:val="24"/>
        </w:rPr>
        <w:t xml:space="preserve"> billion.</w:t>
      </w:r>
    </w:p>
    <w:p w14:paraId="63532E32" w14:textId="72DCAA9D" w:rsidR="00D10DF7" w:rsidRPr="001953D0" w:rsidRDefault="009D212F" w:rsidP="00AC7901">
      <w:pPr>
        <w:spacing w:after="0"/>
        <w:ind w:left="-360"/>
        <w:rPr>
          <w:rFonts w:cstheme="minorHAnsi"/>
          <w:noProof/>
          <w:sz w:val="24"/>
          <w:szCs w:val="24"/>
        </w:rPr>
      </w:pPr>
      <w:r w:rsidRPr="009D212F">
        <w:rPr>
          <w:rFonts w:cstheme="minorHAnsi"/>
          <w:noProof/>
          <w:sz w:val="24"/>
          <w:szCs w:val="24"/>
        </w:rPr>
        <w:t>Exports of services increased $19.7 billion to $846.7 billion in 2019</w:t>
      </w:r>
      <w:r w:rsidR="00D10DF7" w:rsidRPr="001953D0">
        <w:rPr>
          <w:rFonts w:cstheme="minorHAnsi"/>
          <w:noProof/>
          <w:sz w:val="24"/>
          <w:szCs w:val="24"/>
        </w:rPr>
        <w:t>.</w:t>
      </w:r>
    </w:p>
    <w:p w14:paraId="73F9C579" w14:textId="77777777" w:rsidR="001953D0" w:rsidRPr="001953D0" w:rsidRDefault="001953D0" w:rsidP="001953D0">
      <w:pPr>
        <w:pStyle w:val="ListParagraph"/>
        <w:numPr>
          <w:ilvl w:val="0"/>
          <w:numId w:val="24"/>
        </w:numPr>
        <w:rPr>
          <w:rFonts w:cstheme="minorHAnsi"/>
          <w:noProof/>
          <w:sz w:val="24"/>
          <w:szCs w:val="24"/>
        </w:rPr>
      </w:pPr>
      <w:r w:rsidRPr="001953D0">
        <w:rPr>
          <w:rFonts w:cstheme="minorHAnsi"/>
          <w:noProof/>
          <w:sz w:val="24"/>
          <w:szCs w:val="24"/>
        </w:rPr>
        <w:t>Other business services increased $13.7 billion.</w:t>
      </w:r>
    </w:p>
    <w:p w14:paraId="2F023FD0" w14:textId="5019B568" w:rsidR="00D10DF7" w:rsidRPr="001953D0" w:rsidRDefault="001953D0" w:rsidP="001953D0">
      <w:pPr>
        <w:pStyle w:val="ListParagraph"/>
        <w:numPr>
          <w:ilvl w:val="0"/>
          <w:numId w:val="24"/>
        </w:numPr>
        <w:rPr>
          <w:rFonts w:cstheme="minorHAnsi"/>
          <w:noProof/>
          <w:sz w:val="24"/>
          <w:szCs w:val="24"/>
        </w:rPr>
      </w:pPr>
      <w:r w:rsidRPr="001953D0">
        <w:rPr>
          <w:rFonts w:cstheme="minorHAnsi"/>
          <w:noProof/>
          <w:sz w:val="24"/>
          <w:szCs w:val="24"/>
        </w:rPr>
        <w:t>Telecommunications, computer, and information services increased $4.8 billion</w:t>
      </w:r>
      <w:r w:rsidR="00D10DF7" w:rsidRPr="001953D0">
        <w:rPr>
          <w:rFonts w:cstheme="minorHAnsi"/>
          <w:noProof/>
          <w:sz w:val="24"/>
          <w:szCs w:val="24"/>
        </w:rPr>
        <w:t>.</w:t>
      </w:r>
    </w:p>
    <w:p w14:paraId="105BBFED" w14:textId="77777777" w:rsidR="00D10DF7" w:rsidRPr="00721254" w:rsidRDefault="00D10DF7" w:rsidP="00D10DF7">
      <w:pPr>
        <w:spacing w:after="0"/>
        <w:ind w:left="-360"/>
        <w:rPr>
          <w:rFonts w:cstheme="minorHAnsi"/>
          <w:b/>
          <w:noProof/>
          <w:sz w:val="24"/>
          <w:szCs w:val="24"/>
        </w:rPr>
      </w:pPr>
      <w:r w:rsidRPr="00721254">
        <w:rPr>
          <w:rFonts w:cstheme="minorHAnsi"/>
          <w:b/>
          <w:noProof/>
          <w:sz w:val="24"/>
          <w:szCs w:val="24"/>
        </w:rPr>
        <w:t>Imports (</w:t>
      </w:r>
      <w:r>
        <w:rPr>
          <w:rFonts w:cstheme="minorHAnsi"/>
          <w:b/>
          <w:noProof/>
          <w:sz w:val="24"/>
          <w:szCs w:val="24"/>
        </w:rPr>
        <w:t>E</w:t>
      </w:r>
      <w:r w:rsidRPr="00721254">
        <w:rPr>
          <w:rFonts w:cstheme="minorHAnsi"/>
          <w:b/>
          <w:noProof/>
          <w:sz w:val="24"/>
          <w:szCs w:val="24"/>
        </w:rPr>
        <w:t>xhibits 4, 6, and 8)</w:t>
      </w:r>
    </w:p>
    <w:p w14:paraId="2ADEAF1B" w14:textId="67B2D4E9" w:rsidR="00D10DF7" w:rsidRPr="007541B1" w:rsidRDefault="00105853" w:rsidP="00D10DF7">
      <w:pPr>
        <w:spacing w:after="120"/>
        <w:ind w:left="-360"/>
        <w:rPr>
          <w:rFonts w:cstheme="minorHAnsi"/>
          <w:noProof/>
          <w:sz w:val="24"/>
          <w:szCs w:val="24"/>
        </w:rPr>
      </w:pPr>
      <w:r w:rsidRPr="00105853">
        <w:rPr>
          <w:rFonts w:cstheme="minorHAnsi"/>
          <w:noProof/>
          <w:sz w:val="24"/>
          <w:szCs w:val="24"/>
        </w:rPr>
        <w:t>Imports of goods decreased $</w:t>
      </w:r>
      <w:r w:rsidR="0027328E">
        <w:rPr>
          <w:rFonts w:cstheme="minorHAnsi"/>
          <w:noProof/>
          <w:sz w:val="24"/>
          <w:szCs w:val="24"/>
        </w:rPr>
        <w:t>42.6</w:t>
      </w:r>
      <w:r w:rsidRPr="00105853">
        <w:rPr>
          <w:rFonts w:cstheme="minorHAnsi"/>
          <w:noProof/>
          <w:sz w:val="24"/>
          <w:szCs w:val="24"/>
        </w:rPr>
        <w:t xml:space="preserve"> billion to $2,51</w:t>
      </w:r>
      <w:r w:rsidR="0027328E">
        <w:rPr>
          <w:rFonts w:cstheme="minorHAnsi"/>
          <w:noProof/>
          <w:sz w:val="24"/>
          <w:szCs w:val="24"/>
        </w:rPr>
        <w:t>9</w:t>
      </w:r>
      <w:r w:rsidRPr="00105853">
        <w:rPr>
          <w:rFonts w:cstheme="minorHAnsi"/>
          <w:noProof/>
          <w:sz w:val="24"/>
          <w:szCs w:val="24"/>
        </w:rPr>
        <w:t>.</w:t>
      </w:r>
      <w:r w:rsidR="008E15C1">
        <w:rPr>
          <w:rFonts w:cstheme="minorHAnsi"/>
          <w:noProof/>
          <w:sz w:val="24"/>
          <w:szCs w:val="24"/>
        </w:rPr>
        <w:t>0</w:t>
      </w:r>
      <w:r w:rsidRPr="00105853">
        <w:rPr>
          <w:rFonts w:cstheme="minorHAnsi"/>
          <w:noProof/>
          <w:sz w:val="24"/>
          <w:szCs w:val="24"/>
        </w:rPr>
        <w:t xml:space="preserve"> billion in 2019.</w:t>
      </w:r>
    </w:p>
    <w:p w14:paraId="3BF067A4" w14:textId="205AD587" w:rsidR="00D10DF7" w:rsidRPr="007541B1" w:rsidRDefault="00105853" w:rsidP="00D10DF7">
      <w:pPr>
        <w:spacing w:after="120"/>
        <w:ind w:left="-360" w:firstLine="360"/>
        <w:rPr>
          <w:rFonts w:cstheme="minorHAnsi"/>
          <w:noProof/>
          <w:sz w:val="24"/>
          <w:szCs w:val="24"/>
        </w:rPr>
      </w:pPr>
      <w:r w:rsidRPr="00105853">
        <w:rPr>
          <w:rFonts w:cstheme="minorHAnsi"/>
          <w:noProof/>
          <w:sz w:val="24"/>
          <w:szCs w:val="24"/>
        </w:rPr>
        <w:t>Imports of goods on a Census basis decreased $42.3 billion.</w:t>
      </w:r>
    </w:p>
    <w:p w14:paraId="10C4C756" w14:textId="7A935916" w:rsidR="00D10DF7" w:rsidRPr="00E77873" w:rsidRDefault="00E77873" w:rsidP="00E77873">
      <w:pPr>
        <w:numPr>
          <w:ilvl w:val="1"/>
          <w:numId w:val="3"/>
        </w:numPr>
        <w:spacing w:after="0"/>
        <w:rPr>
          <w:rFonts w:cstheme="minorHAnsi"/>
          <w:noProof/>
          <w:sz w:val="24"/>
          <w:szCs w:val="24"/>
        </w:rPr>
      </w:pPr>
      <w:r w:rsidRPr="00E77873">
        <w:rPr>
          <w:rFonts w:cstheme="minorHAnsi"/>
          <w:noProof/>
          <w:sz w:val="24"/>
          <w:szCs w:val="24"/>
        </w:rPr>
        <w:t>Industrial supplies and materials decreased $53.6 billion</w:t>
      </w:r>
      <w:r w:rsidR="00D10DF7" w:rsidRPr="00E77873">
        <w:rPr>
          <w:rFonts w:cstheme="minorHAnsi"/>
          <w:noProof/>
          <w:sz w:val="24"/>
          <w:szCs w:val="24"/>
        </w:rPr>
        <w:t>.</w:t>
      </w:r>
    </w:p>
    <w:p w14:paraId="681FF007" w14:textId="744C13E0" w:rsidR="00D10DF7" w:rsidRPr="00E77873" w:rsidRDefault="00D10DF7" w:rsidP="00D10DF7">
      <w:pPr>
        <w:pStyle w:val="ListParagraph"/>
        <w:numPr>
          <w:ilvl w:val="2"/>
          <w:numId w:val="3"/>
        </w:numPr>
        <w:spacing w:after="0"/>
        <w:contextualSpacing w:val="0"/>
        <w:rPr>
          <w:rFonts w:cstheme="minorHAnsi"/>
          <w:noProof/>
          <w:sz w:val="24"/>
          <w:szCs w:val="24"/>
        </w:rPr>
      </w:pPr>
      <w:r w:rsidRPr="00E77873">
        <w:rPr>
          <w:rFonts w:cstheme="minorHAnsi"/>
          <w:noProof/>
          <w:sz w:val="24"/>
          <w:szCs w:val="24"/>
        </w:rPr>
        <w:lastRenderedPageBreak/>
        <w:t xml:space="preserve">Crude oil </w:t>
      </w:r>
      <w:r w:rsidR="008E15C1">
        <w:rPr>
          <w:rFonts w:cstheme="minorHAnsi"/>
          <w:noProof/>
          <w:sz w:val="24"/>
          <w:szCs w:val="24"/>
        </w:rPr>
        <w:t>de</w:t>
      </w:r>
      <w:r w:rsidRPr="00E77873">
        <w:rPr>
          <w:rFonts w:cstheme="minorHAnsi"/>
          <w:noProof/>
          <w:sz w:val="24"/>
          <w:szCs w:val="24"/>
        </w:rPr>
        <w:t>creased $</w:t>
      </w:r>
      <w:r w:rsidR="00E77873">
        <w:rPr>
          <w:rFonts w:cstheme="minorHAnsi"/>
          <w:noProof/>
          <w:sz w:val="24"/>
          <w:szCs w:val="24"/>
        </w:rPr>
        <w:t>30.3</w:t>
      </w:r>
      <w:r w:rsidRPr="00E77873">
        <w:rPr>
          <w:rFonts w:cstheme="minorHAnsi"/>
          <w:noProof/>
          <w:sz w:val="24"/>
          <w:szCs w:val="24"/>
        </w:rPr>
        <w:t xml:space="preserve"> billion.</w:t>
      </w:r>
    </w:p>
    <w:p w14:paraId="2C4828D1" w14:textId="67B3CFA9" w:rsidR="00D10DF7" w:rsidRPr="00E77873" w:rsidRDefault="00D10DF7" w:rsidP="00D10DF7">
      <w:pPr>
        <w:numPr>
          <w:ilvl w:val="1"/>
          <w:numId w:val="3"/>
        </w:numPr>
        <w:spacing w:after="0"/>
        <w:rPr>
          <w:rFonts w:cstheme="minorHAnsi"/>
          <w:noProof/>
          <w:sz w:val="24"/>
          <w:szCs w:val="24"/>
        </w:rPr>
      </w:pPr>
      <w:r w:rsidRPr="00E77873">
        <w:rPr>
          <w:rFonts w:cstheme="minorHAnsi"/>
          <w:noProof/>
          <w:sz w:val="24"/>
          <w:szCs w:val="24"/>
        </w:rPr>
        <w:t xml:space="preserve">Capital goods </w:t>
      </w:r>
      <w:r w:rsidR="00E77873">
        <w:rPr>
          <w:rFonts w:cstheme="minorHAnsi"/>
          <w:noProof/>
          <w:sz w:val="24"/>
          <w:szCs w:val="24"/>
        </w:rPr>
        <w:t>de</w:t>
      </w:r>
      <w:r w:rsidRPr="00E77873">
        <w:rPr>
          <w:rFonts w:cstheme="minorHAnsi"/>
          <w:noProof/>
          <w:sz w:val="24"/>
          <w:szCs w:val="24"/>
        </w:rPr>
        <w:t>creased $</w:t>
      </w:r>
      <w:r w:rsidR="00E77873">
        <w:rPr>
          <w:rFonts w:cstheme="minorHAnsi"/>
          <w:noProof/>
          <w:sz w:val="24"/>
          <w:szCs w:val="24"/>
        </w:rPr>
        <w:t>14.4</w:t>
      </w:r>
      <w:r w:rsidRPr="00E77873">
        <w:rPr>
          <w:rFonts w:cstheme="minorHAnsi"/>
          <w:noProof/>
          <w:sz w:val="24"/>
          <w:szCs w:val="24"/>
        </w:rPr>
        <w:t xml:space="preserve"> billion.</w:t>
      </w:r>
    </w:p>
    <w:p w14:paraId="67529F75" w14:textId="4F83E289" w:rsidR="00D10DF7" w:rsidRPr="00E77873" w:rsidRDefault="00E77873" w:rsidP="00E77873">
      <w:pPr>
        <w:pStyle w:val="ListParagraph"/>
        <w:numPr>
          <w:ilvl w:val="2"/>
          <w:numId w:val="3"/>
        </w:numPr>
        <w:spacing w:after="0"/>
        <w:contextualSpacing w:val="0"/>
        <w:rPr>
          <w:rFonts w:cstheme="minorHAnsi"/>
          <w:noProof/>
          <w:sz w:val="24"/>
          <w:szCs w:val="24"/>
        </w:rPr>
      </w:pPr>
      <w:r w:rsidRPr="00E77873">
        <w:rPr>
          <w:rFonts w:cstheme="minorHAnsi"/>
          <w:noProof/>
          <w:sz w:val="24"/>
          <w:szCs w:val="24"/>
        </w:rPr>
        <w:t>Computer accessories decreased $11.6 billion</w:t>
      </w:r>
      <w:r w:rsidR="00D10DF7" w:rsidRPr="00E77873">
        <w:rPr>
          <w:rFonts w:cstheme="minorHAnsi"/>
          <w:noProof/>
          <w:sz w:val="24"/>
          <w:szCs w:val="24"/>
        </w:rPr>
        <w:t>.</w:t>
      </w:r>
    </w:p>
    <w:p w14:paraId="67BC3AEC" w14:textId="1B5C7B5A" w:rsidR="00D10DF7" w:rsidRPr="00E77873" w:rsidRDefault="00E77873" w:rsidP="00E77873">
      <w:pPr>
        <w:pStyle w:val="ListParagraph"/>
        <w:numPr>
          <w:ilvl w:val="2"/>
          <w:numId w:val="3"/>
        </w:numPr>
        <w:spacing w:after="0"/>
        <w:contextualSpacing w:val="0"/>
        <w:rPr>
          <w:rFonts w:cstheme="minorHAnsi"/>
          <w:noProof/>
          <w:sz w:val="24"/>
          <w:szCs w:val="24"/>
        </w:rPr>
      </w:pPr>
      <w:r w:rsidRPr="00E77873">
        <w:rPr>
          <w:rFonts w:cstheme="minorHAnsi"/>
          <w:noProof/>
          <w:sz w:val="24"/>
          <w:szCs w:val="24"/>
        </w:rPr>
        <w:t>Telecommunications equipment decreased $11.6 billion</w:t>
      </w:r>
      <w:r w:rsidR="00D10DF7" w:rsidRPr="00E77873">
        <w:rPr>
          <w:rFonts w:cstheme="minorHAnsi"/>
          <w:noProof/>
          <w:sz w:val="24"/>
          <w:szCs w:val="24"/>
        </w:rPr>
        <w:t>.</w:t>
      </w:r>
    </w:p>
    <w:p w14:paraId="3B2D4D65" w14:textId="529ECB54" w:rsidR="00D10DF7" w:rsidRDefault="00E77873" w:rsidP="00E77873">
      <w:pPr>
        <w:pStyle w:val="ListParagraph"/>
        <w:numPr>
          <w:ilvl w:val="2"/>
          <w:numId w:val="3"/>
        </w:numPr>
        <w:spacing w:after="0"/>
        <w:contextualSpacing w:val="0"/>
        <w:rPr>
          <w:rFonts w:cstheme="minorHAnsi"/>
          <w:noProof/>
          <w:sz w:val="24"/>
          <w:szCs w:val="24"/>
        </w:rPr>
      </w:pPr>
      <w:r w:rsidRPr="00E77873">
        <w:rPr>
          <w:rFonts w:cstheme="minorHAnsi"/>
          <w:noProof/>
          <w:sz w:val="24"/>
          <w:szCs w:val="24"/>
        </w:rPr>
        <w:t>Civilian aircraft engines increased $4.5 billion</w:t>
      </w:r>
      <w:r w:rsidR="00D10DF7" w:rsidRPr="00E77873">
        <w:rPr>
          <w:rFonts w:cstheme="minorHAnsi"/>
          <w:noProof/>
          <w:sz w:val="24"/>
          <w:szCs w:val="24"/>
        </w:rPr>
        <w:t>.</w:t>
      </w:r>
    </w:p>
    <w:p w14:paraId="30EB49CE" w14:textId="7BA3A1D2" w:rsidR="00CB1263" w:rsidRPr="00E77873" w:rsidRDefault="00CB1263" w:rsidP="00CB1263">
      <w:pPr>
        <w:pStyle w:val="ListParagraph"/>
        <w:numPr>
          <w:ilvl w:val="1"/>
          <w:numId w:val="3"/>
        </w:numPr>
        <w:spacing w:after="0"/>
        <w:contextualSpacing w:val="0"/>
        <w:rPr>
          <w:rFonts w:cstheme="minorHAnsi"/>
          <w:noProof/>
          <w:sz w:val="24"/>
          <w:szCs w:val="24"/>
        </w:rPr>
      </w:pPr>
      <w:r>
        <w:rPr>
          <w:rFonts w:cstheme="minorHAnsi"/>
          <w:noProof/>
          <w:sz w:val="24"/>
          <w:szCs w:val="24"/>
        </w:rPr>
        <w:t>Other goods increased $11.6 billion.</w:t>
      </w:r>
    </w:p>
    <w:p w14:paraId="7768F0B6" w14:textId="2D1444DC" w:rsidR="00D10DF7" w:rsidRPr="00E77873" w:rsidRDefault="00D10DF7" w:rsidP="00D10DF7">
      <w:pPr>
        <w:numPr>
          <w:ilvl w:val="1"/>
          <w:numId w:val="3"/>
        </w:numPr>
        <w:spacing w:after="0"/>
        <w:rPr>
          <w:rFonts w:cstheme="minorHAnsi"/>
          <w:noProof/>
          <w:sz w:val="24"/>
          <w:szCs w:val="24"/>
        </w:rPr>
      </w:pPr>
      <w:r w:rsidRPr="00E77873">
        <w:rPr>
          <w:rFonts w:cstheme="minorHAnsi"/>
          <w:noProof/>
          <w:sz w:val="24"/>
          <w:szCs w:val="24"/>
        </w:rPr>
        <w:t>Consumer goods increased $</w:t>
      </w:r>
      <w:r w:rsidR="00E77873">
        <w:rPr>
          <w:rFonts w:cstheme="minorHAnsi"/>
          <w:noProof/>
          <w:sz w:val="24"/>
          <w:szCs w:val="24"/>
        </w:rPr>
        <w:t>7</w:t>
      </w:r>
      <w:r w:rsidRPr="00E77873">
        <w:rPr>
          <w:rFonts w:cstheme="minorHAnsi"/>
          <w:noProof/>
          <w:sz w:val="24"/>
          <w:szCs w:val="24"/>
        </w:rPr>
        <w:t>.1 billion.</w:t>
      </w:r>
    </w:p>
    <w:p w14:paraId="0FE77DD1" w14:textId="3B45CDE8" w:rsidR="00D10DF7" w:rsidRDefault="00D10DF7" w:rsidP="00806E33">
      <w:pPr>
        <w:pStyle w:val="ListParagraph"/>
        <w:numPr>
          <w:ilvl w:val="2"/>
          <w:numId w:val="3"/>
        </w:numPr>
        <w:spacing w:after="0"/>
        <w:contextualSpacing w:val="0"/>
        <w:rPr>
          <w:rFonts w:cstheme="minorHAnsi"/>
          <w:noProof/>
          <w:sz w:val="24"/>
          <w:szCs w:val="24"/>
        </w:rPr>
      </w:pPr>
      <w:r w:rsidRPr="00E77873">
        <w:rPr>
          <w:rFonts w:cstheme="minorHAnsi"/>
          <w:noProof/>
          <w:sz w:val="24"/>
          <w:szCs w:val="24"/>
        </w:rPr>
        <w:t>Pharmaceutical preparations increased $</w:t>
      </w:r>
      <w:r w:rsidR="00E77873">
        <w:rPr>
          <w:rFonts w:cstheme="minorHAnsi"/>
          <w:noProof/>
          <w:sz w:val="24"/>
          <w:szCs w:val="24"/>
        </w:rPr>
        <w:t>16.0</w:t>
      </w:r>
      <w:r w:rsidRPr="00E77873">
        <w:rPr>
          <w:rFonts w:cstheme="minorHAnsi"/>
          <w:noProof/>
          <w:sz w:val="24"/>
          <w:szCs w:val="24"/>
        </w:rPr>
        <w:t xml:space="preserve"> billion.</w:t>
      </w:r>
    </w:p>
    <w:p w14:paraId="7FF91E4F" w14:textId="079B17DA" w:rsidR="00E77873" w:rsidRPr="00E77873" w:rsidRDefault="00806E33" w:rsidP="00806E33">
      <w:pPr>
        <w:pStyle w:val="ListParagraph"/>
        <w:numPr>
          <w:ilvl w:val="2"/>
          <w:numId w:val="3"/>
        </w:numPr>
        <w:spacing w:after="120"/>
        <w:contextualSpacing w:val="0"/>
        <w:rPr>
          <w:rFonts w:cstheme="minorHAnsi"/>
          <w:noProof/>
          <w:sz w:val="24"/>
          <w:szCs w:val="24"/>
        </w:rPr>
      </w:pPr>
      <w:r w:rsidRPr="00806E33">
        <w:rPr>
          <w:rFonts w:cstheme="minorHAnsi"/>
          <w:noProof/>
          <w:sz w:val="24"/>
          <w:szCs w:val="24"/>
        </w:rPr>
        <w:t>Gem diamonds decreased $4.1 billion</w:t>
      </w:r>
      <w:r>
        <w:rPr>
          <w:rFonts w:cstheme="minorHAnsi"/>
          <w:noProof/>
          <w:sz w:val="24"/>
          <w:szCs w:val="24"/>
        </w:rPr>
        <w:t>.</w:t>
      </w:r>
    </w:p>
    <w:p w14:paraId="3ED26C9B" w14:textId="5A754E56" w:rsidR="00D10DF7" w:rsidRPr="007541B1" w:rsidRDefault="00105853" w:rsidP="00D10DF7">
      <w:pPr>
        <w:rPr>
          <w:rFonts w:cstheme="minorHAnsi"/>
          <w:noProof/>
          <w:sz w:val="24"/>
          <w:szCs w:val="24"/>
        </w:rPr>
      </w:pPr>
      <w:r w:rsidRPr="00105853">
        <w:rPr>
          <w:rFonts w:cstheme="minorHAnsi"/>
          <w:noProof/>
          <w:sz w:val="24"/>
          <w:szCs w:val="24"/>
        </w:rPr>
        <w:t>Net balance of payments adjustments decreased $</w:t>
      </w:r>
      <w:r w:rsidR="004A7A1D">
        <w:rPr>
          <w:rFonts w:cstheme="minorHAnsi"/>
          <w:noProof/>
          <w:sz w:val="24"/>
          <w:szCs w:val="24"/>
        </w:rPr>
        <w:t>0.3</w:t>
      </w:r>
      <w:r w:rsidRPr="00105853">
        <w:rPr>
          <w:rFonts w:cstheme="minorHAnsi"/>
          <w:noProof/>
          <w:sz w:val="24"/>
          <w:szCs w:val="24"/>
        </w:rPr>
        <w:t xml:space="preserve"> billion.</w:t>
      </w:r>
    </w:p>
    <w:p w14:paraId="299D3A32" w14:textId="1A5DD6B6" w:rsidR="00D10DF7" w:rsidRPr="00105853" w:rsidRDefault="001953D0" w:rsidP="00AC7901">
      <w:pPr>
        <w:spacing w:after="0"/>
        <w:ind w:left="-360"/>
        <w:rPr>
          <w:rFonts w:cstheme="minorHAnsi"/>
          <w:noProof/>
          <w:sz w:val="24"/>
          <w:szCs w:val="24"/>
          <w:highlight w:val="yellow"/>
        </w:rPr>
      </w:pPr>
      <w:r w:rsidRPr="001953D0">
        <w:rPr>
          <w:rFonts w:cstheme="minorHAnsi"/>
          <w:noProof/>
          <w:sz w:val="24"/>
          <w:szCs w:val="24"/>
        </w:rPr>
        <w:t>Imports of services increased $30.2 billion to $597.5 billion in 2019</w:t>
      </w:r>
      <w:r w:rsidR="00D10DF7" w:rsidRPr="001953D0">
        <w:rPr>
          <w:rFonts w:cstheme="minorHAnsi"/>
          <w:noProof/>
          <w:sz w:val="24"/>
          <w:szCs w:val="24"/>
        </w:rPr>
        <w:t>.</w:t>
      </w:r>
    </w:p>
    <w:p w14:paraId="5F7F31BD" w14:textId="77777777" w:rsidR="001953D0" w:rsidRPr="001953D0" w:rsidRDefault="001953D0" w:rsidP="001953D0">
      <w:pPr>
        <w:pStyle w:val="ListParagraph"/>
        <w:numPr>
          <w:ilvl w:val="0"/>
          <w:numId w:val="24"/>
        </w:numPr>
        <w:rPr>
          <w:rFonts w:cstheme="minorHAnsi"/>
          <w:noProof/>
          <w:sz w:val="24"/>
          <w:szCs w:val="24"/>
        </w:rPr>
      </w:pPr>
      <w:r w:rsidRPr="001953D0">
        <w:rPr>
          <w:rFonts w:cstheme="minorHAnsi"/>
          <w:noProof/>
          <w:sz w:val="24"/>
          <w:szCs w:val="24"/>
        </w:rPr>
        <w:t>Travel increased $7.8 billion.</w:t>
      </w:r>
    </w:p>
    <w:p w14:paraId="2DA41899" w14:textId="77777777" w:rsidR="001953D0" w:rsidRPr="001953D0" w:rsidRDefault="001953D0" w:rsidP="001953D0">
      <w:pPr>
        <w:pStyle w:val="ListParagraph"/>
        <w:numPr>
          <w:ilvl w:val="0"/>
          <w:numId w:val="24"/>
        </w:numPr>
        <w:rPr>
          <w:rFonts w:cstheme="minorHAnsi"/>
          <w:noProof/>
          <w:sz w:val="24"/>
          <w:szCs w:val="24"/>
        </w:rPr>
      </w:pPr>
      <w:r w:rsidRPr="001953D0">
        <w:rPr>
          <w:rFonts w:cstheme="minorHAnsi"/>
          <w:noProof/>
          <w:sz w:val="24"/>
          <w:szCs w:val="24"/>
        </w:rPr>
        <w:t>Insurance services increased $7.1 billion.</w:t>
      </w:r>
    </w:p>
    <w:p w14:paraId="1DD7B0EF" w14:textId="0B505F81" w:rsidR="00D10DF7" w:rsidRPr="001953D0" w:rsidRDefault="001953D0" w:rsidP="001953D0">
      <w:pPr>
        <w:pStyle w:val="ListParagraph"/>
        <w:numPr>
          <w:ilvl w:val="0"/>
          <w:numId w:val="24"/>
        </w:numPr>
        <w:rPr>
          <w:rFonts w:cstheme="minorHAnsi"/>
          <w:noProof/>
          <w:sz w:val="24"/>
          <w:szCs w:val="24"/>
        </w:rPr>
      </w:pPr>
      <w:r w:rsidRPr="001953D0">
        <w:rPr>
          <w:rFonts w:cstheme="minorHAnsi"/>
          <w:noProof/>
          <w:sz w:val="24"/>
          <w:szCs w:val="24"/>
        </w:rPr>
        <w:t>Other business services increased $5.6 billion</w:t>
      </w:r>
      <w:r w:rsidR="00D10DF7" w:rsidRPr="001953D0">
        <w:rPr>
          <w:rFonts w:cstheme="minorHAnsi"/>
          <w:noProof/>
          <w:sz w:val="24"/>
          <w:szCs w:val="24"/>
        </w:rPr>
        <w:t>.</w:t>
      </w:r>
    </w:p>
    <w:p w14:paraId="2DA75C78" w14:textId="77777777" w:rsidR="00D10DF7" w:rsidRPr="00260468" w:rsidRDefault="00D10DF7" w:rsidP="00D10DF7">
      <w:pPr>
        <w:spacing w:after="0"/>
        <w:ind w:left="-360"/>
        <w:rPr>
          <w:rFonts w:cstheme="minorHAnsi"/>
          <w:b/>
          <w:noProof/>
          <w:sz w:val="24"/>
          <w:szCs w:val="24"/>
        </w:rPr>
      </w:pPr>
      <w:r w:rsidRPr="00260468">
        <w:rPr>
          <w:rFonts w:cstheme="minorHAnsi"/>
          <w:b/>
          <w:noProof/>
          <w:sz w:val="24"/>
          <w:szCs w:val="24"/>
        </w:rPr>
        <w:t>Goods by Selected Count</w:t>
      </w:r>
      <w:r>
        <w:rPr>
          <w:rFonts w:cstheme="minorHAnsi"/>
          <w:b/>
          <w:noProof/>
          <w:sz w:val="24"/>
          <w:szCs w:val="24"/>
        </w:rPr>
        <w:t>ries and Areas – Census Basis (E</w:t>
      </w:r>
      <w:r w:rsidRPr="00260468">
        <w:rPr>
          <w:rFonts w:cstheme="minorHAnsi"/>
          <w:b/>
          <w:noProof/>
          <w:sz w:val="24"/>
          <w:szCs w:val="24"/>
        </w:rPr>
        <w:t>xhibits 14 and 14a)</w:t>
      </w:r>
    </w:p>
    <w:p w14:paraId="089338BF" w14:textId="3787426F" w:rsidR="00D10DF7" w:rsidRPr="007541B1" w:rsidRDefault="00105853" w:rsidP="00AC7901">
      <w:pPr>
        <w:spacing w:after="0"/>
        <w:ind w:left="-360"/>
        <w:rPr>
          <w:rFonts w:cstheme="minorHAnsi"/>
          <w:noProof/>
          <w:sz w:val="24"/>
          <w:szCs w:val="24"/>
        </w:rPr>
      </w:pPr>
      <w:r w:rsidRPr="00105853">
        <w:rPr>
          <w:rFonts w:cstheme="minorHAnsi"/>
          <w:noProof/>
          <w:sz w:val="24"/>
          <w:szCs w:val="24"/>
        </w:rPr>
        <w:t>The 2019 figures show surpluses, in billions of dollars, with South and Central America ($53.7), Hong Kong ($26.1), Netherlands ($21.5), Australi</w:t>
      </w:r>
      <w:r w:rsidR="000B0BD1">
        <w:rPr>
          <w:rFonts w:cstheme="minorHAnsi"/>
          <w:noProof/>
          <w:sz w:val="24"/>
          <w:szCs w:val="24"/>
        </w:rPr>
        <w:t xml:space="preserve">a ($15.2), Belgium ($14.6), </w:t>
      </w:r>
      <w:r w:rsidRPr="00105853">
        <w:rPr>
          <w:rFonts w:cstheme="minorHAnsi"/>
          <w:noProof/>
          <w:sz w:val="24"/>
          <w:szCs w:val="24"/>
        </w:rPr>
        <w:t>Brazil ($12.2)</w:t>
      </w:r>
      <w:r w:rsidR="008E15C1">
        <w:rPr>
          <w:rFonts w:cstheme="minorHAnsi"/>
          <w:noProof/>
          <w:sz w:val="24"/>
          <w:szCs w:val="24"/>
        </w:rPr>
        <w:t>, and United Kingdom ($6.0)</w:t>
      </w:r>
      <w:r w:rsidRPr="00105853">
        <w:rPr>
          <w:rFonts w:cstheme="minorHAnsi"/>
          <w:noProof/>
          <w:sz w:val="24"/>
          <w:szCs w:val="24"/>
        </w:rPr>
        <w:t>. Deficits were recorded, in billions of dollars, with China ($345.6), European Union ($177.9), Mexico ($101.8), Japan ($69.0), Germany ($67.2), Ireland ($52.7), Italy ($33.4), Malaysia ($27.4), Canada ($27.0), Switzerland ($26.7), India ($23.3), Taiwan ($23.0), South Korea ($20.6), Thailand ($20.2), France ($19.7), Russia ($16.5), and Indonesia ($12.4).</w:t>
      </w:r>
    </w:p>
    <w:p w14:paraId="12F4A000" w14:textId="03EC86CA" w:rsidR="00D10DF7" w:rsidRPr="00260468" w:rsidRDefault="00105853" w:rsidP="00105853">
      <w:pPr>
        <w:pStyle w:val="ListParagraph"/>
        <w:numPr>
          <w:ilvl w:val="0"/>
          <w:numId w:val="13"/>
        </w:numPr>
        <w:spacing w:after="240"/>
        <w:rPr>
          <w:rFonts w:cstheme="minorHAnsi"/>
          <w:noProof/>
          <w:sz w:val="24"/>
          <w:szCs w:val="24"/>
        </w:rPr>
      </w:pPr>
      <w:r w:rsidRPr="00105853">
        <w:rPr>
          <w:rFonts w:cstheme="minorHAnsi"/>
          <w:noProof/>
          <w:sz w:val="24"/>
          <w:szCs w:val="24"/>
        </w:rPr>
        <w:t>The deficit with China decreased $73.9 billion to $345.6 billion in 2019. Exports decreased $13.5 billion to $106.6 billion and imports decreased $87.4 billion to $452.2 billion.</w:t>
      </w:r>
    </w:p>
    <w:p w14:paraId="4DAAE4B5" w14:textId="541F6C35" w:rsidR="00D10DF7" w:rsidRPr="00260468" w:rsidRDefault="008E15C1" w:rsidP="00105853">
      <w:pPr>
        <w:pStyle w:val="ListParagraph"/>
        <w:numPr>
          <w:ilvl w:val="0"/>
          <w:numId w:val="13"/>
        </w:numPr>
        <w:spacing w:after="240"/>
        <w:rPr>
          <w:rFonts w:cstheme="minorHAnsi"/>
          <w:noProof/>
          <w:sz w:val="24"/>
          <w:szCs w:val="24"/>
        </w:rPr>
      </w:pPr>
      <w:r>
        <w:rPr>
          <w:rFonts w:cstheme="minorHAnsi"/>
          <w:noProof/>
          <w:sz w:val="24"/>
          <w:szCs w:val="24"/>
        </w:rPr>
        <w:t xml:space="preserve">The </w:t>
      </w:r>
      <w:r w:rsidR="00901A65">
        <w:rPr>
          <w:rFonts w:cstheme="minorHAnsi"/>
          <w:noProof/>
          <w:sz w:val="24"/>
          <w:szCs w:val="24"/>
        </w:rPr>
        <w:t>surplus</w:t>
      </w:r>
      <w:r>
        <w:rPr>
          <w:rFonts w:cstheme="minorHAnsi"/>
          <w:noProof/>
          <w:sz w:val="24"/>
          <w:szCs w:val="24"/>
        </w:rPr>
        <w:t xml:space="preserve"> with South and Central America </w:t>
      </w:r>
      <w:r w:rsidR="00064A7B">
        <w:rPr>
          <w:rFonts w:cstheme="minorHAnsi"/>
          <w:noProof/>
          <w:sz w:val="24"/>
          <w:szCs w:val="24"/>
        </w:rPr>
        <w:t>increased $11.7 billion to $53.7 billion in 2019. Exports decreased $1.6 billion to $162.</w:t>
      </w:r>
      <w:r w:rsidR="00CB1263">
        <w:rPr>
          <w:rFonts w:cstheme="minorHAnsi"/>
          <w:noProof/>
          <w:sz w:val="24"/>
          <w:szCs w:val="24"/>
        </w:rPr>
        <w:t>6</w:t>
      </w:r>
      <w:r w:rsidR="00064A7B">
        <w:rPr>
          <w:rFonts w:cstheme="minorHAnsi"/>
          <w:noProof/>
          <w:sz w:val="24"/>
          <w:szCs w:val="24"/>
        </w:rPr>
        <w:t xml:space="preserve"> billion and imports decreased $13.3 billion to $108.9 billion.</w:t>
      </w:r>
    </w:p>
    <w:p w14:paraId="3014E340" w14:textId="09EDC9FA" w:rsidR="00D10DF7" w:rsidRDefault="00094D6D" w:rsidP="00094D6D">
      <w:pPr>
        <w:pStyle w:val="ListParagraph"/>
        <w:numPr>
          <w:ilvl w:val="0"/>
          <w:numId w:val="13"/>
        </w:numPr>
        <w:spacing w:after="240"/>
        <w:rPr>
          <w:rFonts w:cstheme="minorHAnsi"/>
          <w:noProof/>
          <w:sz w:val="24"/>
          <w:szCs w:val="24"/>
        </w:rPr>
      </w:pPr>
      <w:r w:rsidRPr="00094D6D">
        <w:rPr>
          <w:rFonts w:cstheme="minorHAnsi"/>
          <w:noProof/>
          <w:sz w:val="24"/>
          <w:szCs w:val="24"/>
        </w:rPr>
        <w:t>The deficit with Mexico increased $21.1 billion to $101.8 billion in 2019. Exports decreased $9.1 billion to $256.4 billion and imports increased $12.0 billion to $358.1 billion</w:t>
      </w:r>
      <w:r w:rsidR="00D10DF7" w:rsidRPr="00260468">
        <w:rPr>
          <w:rFonts w:cstheme="minorHAnsi"/>
          <w:noProof/>
          <w:sz w:val="24"/>
          <w:szCs w:val="24"/>
        </w:rPr>
        <w:t>.</w:t>
      </w:r>
    </w:p>
    <w:p w14:paraId="690E7C24" w14:textId="77777777" w:rsidR="00A154AF" w:rsidRPr="00A07FF1" w:rsidRDefault="00A154AF" w:rsidP="00A154AF">
      <w:pPr>
        <w:ind w:left="-360"/>
        <w:rPr>
          <w:rFonts w:cstheme="minorHAnsi"/>
          <w:noProof/>
          <w:sz w:val="24"/>
          <w:szCs w:val="24"/>
        </w:rPr>
      </w:pPr>
    </w:p>
    <w:p w14:paraId="16ECAFE4" w14:textId="0ED7F05D" w:rsidR="00296E7C" w:rsidRPr="00A07FF1" w:rsidRDefault="009E5635" w:rsidP="004D177A">
      <w:pPr>
        <w:spacing w:after="240"/>
        <w:ind w:left="-360"/>
        <w:rPr>
          <w:rFonts w:cstheme="minorHAnsi"/>
          <w:sz w:val="24"/>
          <w:szCs w:val="24"/>
        </w:rPr>
      </w:pPr>
      <w:r w:rsidRPr="00A07FF1">
        <w:rPr>
          <w:rFonts w:cstheme="minorHAnsi"/>
          <w:sz w:val="24"/>
          <w:szCs w:val="24"/>
        </w:rPr>
        <w:lastRenderedPageBreak/>
        <w:t xml:space="preserve">All statistics referenced </w:t>
      </w:r>
      <w:proofErr w:type="gramStart"/>
      <w:r w:rsidRPr="00A07FF1">
        <w:rPr>
          <w:rFonts w:cstheme="minorHAnsi"/>
          <w:sz w:val="24"/>
          <w:szCs w:val="24"/>
        </w:rPr>
        <w:t>are seasonally adjusted</w:t>
      </w:r>
      <w:proofErr w:type="gramEnd"/>
      <w:r w:rsidRPr="00A07FF1">
        <w:rPr>
          <w:rFonts w:cstheme="minorHAnsi"/>
          <w:sz w:val="24"/>
          <w:szCs w:val="24"/>
        </w:rPr>
        <w:t>; statistics are on a balance of payments basis unless otherwise specified.</w:t>
      </w:r>
      <w:r w:rsidRPr="00A07FF1">
        <w:rPr>
          <w:rFonts w:cstheme="minorHAnsi"/>
        </w:rPr>
        <w:t xml:space="preserve"> </w:t>
      </w:r>
      <w:r w:rsidRPr="00A07FF1">
        <w:rPr>
          <w:rFonts w:cstheme="minorHAnsi"/>
          <w:sz w:val="24"/>
          <w:szCs w:val="24"/>
        </w:rPr>
        <w:t>Additional statistics, including not seasonally adjusted statistics and details for goods on a Census basis, are available in Exhibits 1-20b of this release.</w:t>
      </w:r>
      <w:r w:rsidR="00926E73" w:rsidRPr="00A07FF1">
        <w:rPr>
          <w:rFonts w:cstheme="minorHAnsi"/>
        </w:rPr>
        <w:t xml:space="preserve"> </w:t>
      </w:r>
      <w:r w:rsidR="00926E73" w:rsidRPr="00A07FF1">
        <w:rPr>
          <w:rFonts w:cstheme="minorHAnsi"/>
          <w:sz w:val="24"/>
          <w:szCs w:val="24"/>
        </w:rPr>
        <w:t xml:space="preserve">For information on data sources, definitions, </w:t>
      </w:r>
      <w:r w:rsidR="00E06D68" w:rsidRPr="00A07FF1">
        <w:rPr>
          <w:rFonts w:cstheme="minorHAnsi"/>
          <w:sz w:val="24"/>
          <w:szCs w:val="24"/>
        </w:rPr>
        <w:t xml:space="preserve">and </w:t>
      </w:r>
      <w:r w:rsidR="00926E73" w:rsidRPr="00A07FF1">
        <w:rPr>
          <w:rFonts w:cstheme="minorHAnsi"/>
          <w:sz w:val="24"/>
          <w:szCs w:val="24"/>
        </w:rPr>
        <w:t>revision p</w:t>
      </w:r>
      <w:r w:rsidR="00D81ACE" w:rsidRPr="00A07FF1">
        <w:rPr>
          <w:rFonts w:cstheme="minorHAnsi"/>
          <w:sz w:val="24"/>
          <w:szCs w:val="24"/>
        </w:rPr>
        <w:t>rocedures, see the explanatory n</w:t>
      </w:r>
      <w:r w:rsidR="00926E73" w:rsidRPr="00A07FF1">
        <w:rPr>
          <w:rFonts w:cstheme="minorHAnsi"/>
          <w:sz w:val="24"/>
          <w:szCs w:val="24"/>
        </w:rPr>
        <w:t>otes</w:t>
      </w:r>
      <w:r w:rsidR="00D81ACE" w:rsidRPr="00A07FF1">
        <w:rPr>
          <w:rFonts w:cstheme="minorHAnsi"/>
          <w:sz w:val="24"/>
          <w:szCs w:val="24"/>
        </w:rPr>
        <w:t xml:space="preserve"> in this release</w:t>
      </w:r>
      <w:r w:rsidR="00926E73" w:rsidRPr="00A07FF1">
        <w:rPr>
          <w:rFonts w:cstheme="minorHAnsi"/>
          <w:sz w:val="24"/>
          <w:szCs w:val="24"/>
        </w:rPr>
        <w:t>.</w:t>
      </w:r>
      <w:r w:rsidR="00D81ACE" w:rsidRPr="00A07FF1">
        <w:rPr>
          <w:rFonts w:cstheme="minorHAnsi"/>
          <w:sz w:val="24"/>
          <w:szCs w:val="24"/>
        </w:rPr>
        <w:t xml:space="preserve"> The full </w:t>
      </w:r>
      <w:r w:rsidR="00EE1F45" w:rsidRPr="00A07FF1">
        <w:rPr>
          <w:rFonts w:cstheme="minorHAnsi"/>
          <w:sz w:val="24"/>
          <w:szCs w:val="24"/>
        </w:rPr>
        <w:t xml:space="preserve">release </w:t>
      </w:r>
      <w:proofErr w:type="gramStart"/>
      <w:r w:rsidR="00D81ACE" w:rsidRPr="00A07FF1">
        <w:rPr>
          <w:rFonts w:cstheme="minorHAnsi"/>
          <w:sz w:val="24"/>
          <w:szCs w:val="24"/>
        </w:rPr>
        <w:t>can be found</w:t>
      </w:r>
      <w:proofErr w:type="gramEnd"/>
      <w:r w:rsidR="00D81ACE" w:rsidRPr="00A07FF1">
        <w:rPr>
          <w:rFonts w:cstheme="minorHAnsi"/>
          <w:sz w:val="24"/>
          <w:szCs w:val="24"/>
        </w:rPr>
        <w:t xml:space="preserve"> at</w:t>
      </w:r>
      <w:r w:rsidR="00D81ACE" w:rsidRPr="00A07FF1">
        <w:rPr>
          <w:rFonts w:cstheme="minorHAnsi"/>
          <w:color w:val="000000"/>
          <w:sz w:val="24"/>
          <w:szCs w:val="24"/>
        </w:rPr>
        <w:t xml:space="preserve"> </w:t>
      </w:r>
      <w:hyperlink r:id="rId22" w:history="1">
        <w:r w:rsidR="00550817" w:rsidRPr="000526EB">
          <w:rPr>
            <w:rStyle w:val="Hyperlink"/>
            <w:rFonts w:cstheme="minorHAnsi"/>
            <w:sz w:val="24"/>
            <w:szCs w:val="24"/>
          </w:rPr>
          <w:t>www.census.gov/foreign-trade/Press-Release/current_press_release/index.html</w:t>
        </w:r>
      </w:hyperlink>
      <w:r w:rsidR="00D81ACE" w:rsidRPr="00A07FF1">
        <w:rPr>
          <w:rFonts w:cstheme="minorHAnsi"/>
          <w:sz w:val="24"/>
          <w:szCs w:val="24"/>
        </w:rPr>
        <w:t xml:space="preserve"> or </w:t>
      </w:r>
      <w:hyperlink r:id="rId23" w:history="1">
        <w:r w:rsidR="00BB2FAE" w:rsidRPr="00A07FF1">
          <w:rPr>
            <w:rStyle w:val="Hyperlink"/>
            <w:rFonts w:cstheme="minorHAnsi"/>
            <w:sz w:val="24"/>
            <w:szCs w:val="24"/>
          </w:rPr>
          <w:t>www.bea.gov/data/intl-trade-investment/international-trade-goods-and-services</w:t>
        </w:r>
      </w:hyperlink>
      <w:r w:rsidR="00D81ACE" w:rsidRPr="00A07FF1">
        <w:rPr>
          <w:rFonts w:cstheme="minorHAnsi"/>
          <w:sz w:val="24"/>
          <w:szCs w:val="24"/>
        </w:rPr>
        <w:t>.</w:t>
      </w:r>
      <w:r w:rsidRPr="00A07FF1">
        <w:rPr>
          <w:rFonts w:cstheme="minorHAnsi"/>
          <w:sz w:val="24"/>
          <w:szCs w:val="24"/>
        </w:rPr>
        <w:t xml:space="preserve"> </w:t>
      </w:r>
      <w:r w:rsidR="007D6D0D" w:rsidRPr="007D6D0D">
        <w:rPr>
          <w:rFonts w:cstheme="minorHAnsi"/>
          <w:sz w:val="24"/>
          <w:szCs w:val="24"/>
        </w:rPr>
        <w:t xml:space="preserve">The January 2020 U.S. International Trade in Goods and Services report is scheduled for release on March </w:t>
      </w:r>
      <w:r w:rsidR="007D6D0D" w:rsidRPr="007D6D0D">
        <w:rPr>
          <w:sz w:val="24"/>
          <w:szCs w:val="24"/>
        </w:rPr>
        <w:t>6, 2020.</w:t>
      </w:r>
      <w:r w:rsidR="00033313" w:rsidRPr="00A07FF1">
        <w:rPr>
          <w:rFonts w:cstheme="minorHAnsi"/>
          <w:sz w:val="24"/>
          <w:szCs w:val="24"/>
        </w:rPr>
        <w:t xml:space="preserve"> </w:t>
      </w:r>
      <w:r w:rsidR="00D81ACE" w:rsidRPr="00A07FF1">
        <w:rPr>
          <w:rFonts w:cstheme="minorHAnsi"/>
          <w:sz w:val="24"/>
          <w:szCs w:val="24"/>
        </w:rPr>
        <w:t>T</w:t>
      </w:r>
      <w:r w:rsidR="00EC5947" w:rsidRPr="00A07FF1">
        <w:rPr>
          <w:rFonts w:cstheme="minorHAnsi"/>
          <w:sz w:val="24"/>
          <w:szCs w:val="24"/>
        </w:rPr>
        <w:t xml:space="preserve">he full schedule </w:t>
      </w:r>
      <w:r w:rsidR="00D81ACE" w:rsidRPr="00A07FF1">
        <w:rPr>
          <w:rFonts w:cstheme="minorHAnsi"/>
          <w:sz w:val="24"/>
          <w:szCs w:val="24"/>
        </w:rPr>
        <w:t xml:space="preserve">is available </w:t>
      </w:r>
      <w:r w:rsidR="00EC5947" w:rsidRPr="00A07FF1">
        <w:rPr>
          <w:rFonts w:cstheme="minorHAnsi"/>
          <w:sz w:val="24"/>
          <w:szCs w:val="24"/>
        </w:rPr>
        <w:t xml:space="preserve">in the </w:t>
      </w:r>
      <w:r w:rsidR="00466547" w:rsidRPr="00A07FF1">
        <w:rPr>
          <w:rFonts w:cstheme="minorHAnsi"/>
          <w:sz w:val="24"/>
          <w:szCs w:val="24"/>
        </w:rPr>
        <w:t xml:space="preserve">Census Bureau’s </w:t>
      </w:r>
      <w:r w:rsidR="00EC5947" w:rsidRPr="00A07FF1">
        <w:rPr>
          <w:rFonts w:cstheme="minorHAnsi"/>
          <w:sz w:val="24"/>
          <w:szCs w:val="24"/>
        </w:rPr>
        <w:t>Economic Briefing Room</w:t>
      </w:r>
      <w:r w:rsidR="00466547" w:rsidRPr="00A07FF1">
        <w:rPr>
          <w:rFonts w:cstheme="minorHAnsi"/>
          <w:sz w:val="24"/>
          <w:szCs w:val="24"/>
        </w:rPr>
        <w:t xml:space="preserve"> at </w:t>
      </w:r>
      <w:hyperlink r:id="rId24" w:history="1">
        <w:r w:rsidR="00D63E5A" w:rsidRPr="00A07FF1">
          <w:rPr>
            <w:rStyle w:val="Hyperlink"/>
            <w:rFonts w:cstheme="minorHAnsi"/>
            <w:sz w:val="24"/>
            <w:szCs w:val="24"/>
          </w:rPr>
          <w:t>www.census.gov/economic-indicators/</w:t>
        </w:r>
      </w:hyperlink>
      <w:r w:rsidR="005E58EE" w:rsidRPr="00A07FF1">
        <w:rPr>
          <w:rFonts w:cstheme="minorHAnsi"/>
          <w:sz w:val="24"/>
          <w:szCs w:val="24"/>
        </w:rPr>
        <w:t xml:space="preserve"> or on BEA’s </w:t>
      </w:r>
      <w:r w:rsidR="006D0E0F">
        <w:rPr>
          <w:rFonts w:cstheme="minorHAnsi"/>
          <w:sz w:val="24"/>
          <w:szCs w:val="24"/>
        </w:rPr>
        <w:t>web</w:t>
      </w:r>
      <w:r w:rsidR="005E58EE" w:rsidRPr="00A07FF1">
        <w:rPr>
          <w:rFonts w:cstheme="minorHAnsi"/>
          <w:sz w:val="24"/>
          <w:szCs w:val="24"/>
        </w:rPr>
        <w:t xml:space="preserve">site at </w:t>
      </w:r>
      <w:hyperlink r:id="rId25" w:history="1">
        <w:r w:rsidR="00A151FB" w:rsidRPr="00A07FF1">
          <w:rPr>
            <w:rStyle w:val="Hyperlink"/>
            <w:rFonts w:cstheme="minorHAnsi"/>
            <w:sz w:val="24"/>
            <w:szCs w:val="24"/>
          </w:rPr>
          <w:t>www.bea.gov/news/schedule</w:t>
        </w:r>
      </w:hyperlink>
      <w:r w:rsidR="005E58EE" w:rsidRPr="00A07FF1">
        <w:rPr>
          <w:rFonts w:cstheme="minorHAnsi"/>
          <w:sz w:val="24"/>
          <w:szCs w:val="24"/>
        </w:rPr>
        <w:t>.</w:t>
      </w:r>
    </w:p>
    <w:p w14:paraId="1B3E5417" w14:textId="77777777" w:rsidR="00DB45D8" w:rsidRPr="00A07FF1" w:rsidRDefault="00DB45D8" w:rsidP="00395B72">
      <w:pPr>
        <w:spacing w:after="120"/>
        <w:jc w:val="center"/>
        <w:rPr>
          <w:rFonts w:cstheme="minorHAnsi"/>
          <w:b/>
          <w:bCs/>
          <w:sz w:val="24"/>
          <w:szCs w:val="24"/>
        </w:rPr>
      </w:pPr>
    </w:p>
    <w:p w14:paraId="3983EEBB" w14:textId="307BB092" w:rsidR="004C7671" w:rsidRDefault="004C7671" w:rsidP="004C7671">
      <w:pPr>
        <w:spacing w:after="120"/>
        <w:ind w:left="-360"/>
        <w:rPr>
          <w:rFonts w:cstheme="minorHAnsi"/>
          <w:b/>
          <w:bCs/>
          <w:sz w:val="24"/>
          <w:szCs w:val="24"/>
        </w:rPr>
      </w:pPr>
      <w:r w:rsidRPr="00A07FF1">
        <w:rPr>
          <w:rFonts w:cstheme="minorHAnsi"/>
          <w:b/>
          <w:bCs/>
          <w:sz w:val="24"/>
          <w:szCs w:val="24"/>
        </w:rPr>
        <w:t>NOTICE</w:t>
      </w:r>
    </w:p>
    <w:p w14:paraId="47C0047E" w14:textId="0B5EE4CE" w:rsidR="00B378DD" w:rsidRDefault="006D3F08" w:rsidP="00B378DD">
      <w:pPr>
        <w:spacing w:after="0"/>
        <w:ind w:left="-360"/>
        <w:rPr>
          <w:b/>
          <w:sz w:val="24"/>
          <w:szCs w:val="24"/>
        </w:rPr>
      </w:pPr>
      <w:r w:rsidRPr="006D3F08">
        <w:rPr>
          <w:b/>
          <w:sz w:val="24"/>
          <w:szCs w:val="24"/>
        </w:rPr>
        <w:t>Change to Exhibit 17</w:t>
      </w:r>
    </w:p>
    <w:p w14:paraId="3FEF8742" w14:textId="56A6EC85" w:rsidR="006D3F08" w:rsidRPr="006D3F08" w:rsidRDefault="006D3F08" w:rsidP="006D3F08">
      <w:pPr>
        <w:spacing w:after="120"/>
        <w:ind w:left="-360"/>
        <w:rPr>
          <w:rFonts w:cs="Times New Roman"/>
          <w:sz w:val="24"/>
          <w:szCs w:val="24"/>
        </w:rPr>
      </w:pPr>
      <w:r w:rsidRPr="006D3F08">
        <w:rPr>
          <w:rFonts w:cs="Times New Roman"/>
          <w:sz w:val="24"/>
          <w:szCs w:val="24"/>
        </w:rPr>
        <w:t xml:space="preserve">With the release of the “U.S. International Trade in Goods and Services, January 2020” report on March 6, 2020, exhibit 17 will include exports of energy-related petroleum products—in addition to imports—and will be renamed </w:t>
      </w:r>
      <w:r w:rsidRPr="00CB1263">
        <w:rPr>
          <w:rFonts w:cs="Times New Roman"/>
          <w:i/>
          <w:sz w:val="24"/>
          <w:szCs w:val="24"/>
        </w:rPr>
        <w:t>Exhibit 17. U.S. Trade in Energy-Related Petroleum Products, Including Crude Oil</w:t>
      </w:r>
      <w:r w:rsidRPr="006D3F08">
        <w:rPr>
          <w:rFonts w:cs="Times New Roman"/>
          <w:sz w:val="24"/>
          <w:szCs w:val="24"/>
        </w:rPr>
        <w:t xml:space="preserve">. A preview of the modified exhibit is available at </w:t>
      </w:r>
      <w:hyperlink r:id="rId26" w:history="1">
        <w:r w:rsidR="00EE3731">
          <w:rPr>
            <w:rStyle w:val="Hyperlink"/>
            <w:rFonts w:cs="Times New Roman"/>
            <w:sz w:val="24"/>
            <w:szCs w:val="24"/>
          </w:rPr>
          <w:t>www.census.gov/foreign-trade/statistics/notices/20191205_exhibit17.html</w:t>
        </w:r>
      </w:hyperlink>
      <w:r w:rsidRPr="006D3F08">
        <w:rPr>
          <w:rFonts w:cs="Times New Roman"/>
          <w:sz w:val="24"/>
          <w:szCs w:val="24"/>
        </w:rPr>
        <w:t>.</w:t>
      </w:r>
    </w:p>
    <w:p w14:paraId="417E72C4" w14:textId="21BCC3AD" w:rsidR="00B378DD" w:rsidRDefault="006D3F08" w:rsidP="006D3F08">
      <w:pPr>
        <w:spacing w:after="120"/>
        <w:ind w:left="-360"/>
        <w:rPr>
          <w:rFonts w:cs="Times New Roman"/>
          <w:sz w:val="24"/>
          <w:szCs w:val="24"/>
        </w:rPr>
      </w:pPr>
      <w:r w:rsidRPr="006D3F08">
        <w:rPr>
          <w:rFonts w:cs="Times New Roman"/>
          <w:sz w:val="24"/>
          <w:szCs w:val="24"/>
        </w:rPr>
        <w:t xml:space="preserve">If you have questions or need additional information, please contact the U.S. Census Bureau, Economic Indicators Division, International Trade Macro Analysis Branch, on (800) 549-0595, option 4, or at </w:t>
      </w:r>
      <w:hyperlink r:id="rId27" w:history="1">
        <w:r w:rsidRPr="006D3F08">
          <w:rPr>
            <w:rStyle w:val="Hyperlink"/>
            <w:rFonts w:cs="Times New Roman"/>
            <w:sz w:val="24"/>
            <w:szCs w:val="24"/>
          </w:rPr>
          <w:t>eid.international.trade.data@census.gov</w:t>
        </w:r>
      </w:hyperlink>
      <w:r w:rsidRPr="006D3F08">
        <w:rPr>
          <w:rFonts w:cs="Times New Roman"/>
          <w:sz w:val="24"/>
          <w:szCs w:val="24"/>
        </w:rPr>
        <w:t>.</w:t>
      </w:r>
    </w:p>
    <w:p w14:paraId="4BEFC0B0" w14:textId="77777777" w:rsidR="00B378DD" w:rsidRDefault="00B378DD" w:rsidP="002778F1">
      <w:pPr>
        <w:spacing w:after="0"/>
        <w:ind w:left="-360"/>
        <w:rPr>
          <w:b/>
          <w:sz w:val="24"/>
          <w:szCs w:val="24"/>
        </w:rPr>
      </w:pPr>
    </w:p>
    <w:p w14:paraId="0F639A08" w14:textId="6499DAF3" w:rsidR="00395B72" w:rsidRPr="00A07FF1" w:rsidRDefault="00395B72" w:rsidP="00EE1F45">
      <w:pPr>
        <w:rPr>
          <w:rFonts w:cstheme="minorHAnsi"/>
          <w:sz w:val="24"/>
          <w:szCs w:val="24"/>
        </w:rPr>
      </w:pPr>
      <w:r w:rsidRPr="00A07FF1">
        <w:rPr>
          <w:rFonts w:cstheme="minorHAnsi"/>
          <w:sz w:val="24"/>
          <w:szCs w:val="24"/>
        </w:rPr>
        <w:br w:type="page"/>
      </w:r>
    </w:p>
    <w:p w14:paraId="4D30FDE0" w14:textId="77777777" w:rsidR="001705DB" w:rsidRPr="00A07FF1" w:rsidRDefault="001705DB" w:rsidP="001705DB">
      <w:pPr>
        <w:spacing w:after="120"/>
        <w:ind w:left="-360"/>
        <w:rPr>
          <w:rFonts w:cstheme="minorHAnsi"/>
          <w:b/>
          <w:sz w:val="24"/>
        </w:rPr>
      </w:pPr>
      <w:r w:rsidRPr="00A07FF1">
        <w:rPr>
          <w:rFonts w:cstheme="minorHAnsi"/>
          <w:b/>
          <w:sz w:val="24"/>
        </w:rPr>
        <w:lastRenderedPageBreak/>
        <w:t>EXPLANATORY NOTES</w:t>
      </w:r>
    </w:p>
    <w:p w14:paraId="6B88485F" w14:textId="77777777" w:rsidR="001705DB" w:rsidRPr="00A07FF1" w:rsidRDefault="001705DB" w:rsidP="001705DB">
      <w:pPr>
        <w:spacing w:after="0"/>
        <w:ind w:left="-360"/>
        <w:rPr>
          <w:rFonts w:cstheme="minorHAnsi"/>
          <w:b/>
          <w:bCs/>
          <w:iCs/>
          <w:sz w:val="24"/>
          <w:szCs w:val="24"/>
        </w:rPr>
      </w:pPr>
      <w:r w:rsidRPr="00A07FF1">
        <w:rPr>
          <w:rFonts w:cstheme="minorHAnsi"/>
          <w:b/>
          <w:bCs/>
          <w:iCs/>
          <w:sz w:val="24"/>
          <w:szCs w:val="24"/>
        </w:rPr>
        <w:t>Goods (Census Basis)</w:t>
      </w:r>
    </w:p>
    <w:p w14:paraId="664D6815" w14:textId="77777777" w:rsidR="001705DB" w:rsidRPr="00A07FF1" w:rsidRDefault="001705DB" w:rsidP="001705DB">
      <w:pPr>
        <w:spacing w:after="120"/>
        <w:ind w:left="-360"/>
        <w:rPr>
          <w:rFonts w:cstheme="minorHAnsi"/>
          <w:sz w:val="24"/>
          <w:szCs w:val="24"/>
        </w:rPr>
      </w:pPr>
      <w:r w:rsidRPr="00A07FF1">
        <w:rPr>
          <w:rFonts w:cstheme="minorHAnsi"/>
          <w:sz w:val="24"/>
          <w:szCs w:val="24"/>
        </w:rPr>
        <w:t xml:space="preserve">Data for goods on a Census basis </w:t>
      </w:r>
      <w:proofErr w:type="gramStart"/>
      <w:r w:rsidRPr="00A07FF1">
        <w:rPr>
          <w:rFonts w:cstheme="minorHAnsi"/>
          <w:sz w:val="24"/>
          <w:szCs w:val="24"/>
        </w:rPr>
        <w:t>are compiled</w:t>
      </w:r>
      <w:proofErr w:type="gramEnd"/>
      <w:r w:rsidRPr="00A07FF1">
        <w:rPr>
          <w:rFonts w:cstheme="minorHAnsi"/>
          <w:sz w:val="24"/>
          <w:szCs w:val="24"/>
        </w:rPr>
        <w:t xml:space="preserve"> from the documents collected by U.S. Customs and Border Protection (CBP) and reflect the movement of goods between foreign countries and the 50 states, the District of Columbia, Puerto Rico, the U.S. Virgin Islands, and U.S. Foreign Trade Zones. They include government and non-government shipments of goods and exclude shipments between the United States and its territories and possessions; transactions with U.S. military, diplomatic, and consular installations abroad; U.S. goods returned to the United States by its Armed Forces; personal and household effects of travelers; and in-transit shipments. The General Imports value reflects the total arrival of merchandise from foreign countries that immediately enters consumption channels, warehouses, or Foreign Trade Zones.</w:t>
      </w:r>
    </w:p>
    <w:p w14:paraId="429EEC55" w14:textId="77777777" w:rsidR="001705DB" w:rsidRPr="00A07FF1" w:rsidRDefault="001705DB" w:rsidP="001705DB">
      <w:pPr>
        <w:spacing w:after="120"/>
        <w:ind w:left="-360"/>
        <w:rPr>
          <w:rFonts w:cstheme="minorHAnsi"/>
          <w:sz w:val="24"/>
          <w:szCs w:val="24"/>
        </w:rPr>
      </w:pPr>
      <w:r w:rsidRPr="00A07FF1">
        <w:rPr>
          <w:rFonts w:cstheme="minorHAnsi"/>
          <w:sz w:val="24"/>
          <w:szCs w:val="24"/>
        </w:rPr>
        <w:t xml:space="preserve">For imports, the value reported is the CBP-appraised value of merchandise—generally, the price paid for merchandise for export to the United States. Import duties, freight, insurance, and other charges incurred in bringing merchandise to the United States </w:t>
      </w:r>
      <w:proofErr w:type="gramStart"/>
      <w:r w:rsidRPr="00A07FF1">
        <w:rPr>
          <w:rFonts w:cstheme="minorHAnsi"/>
          <w:sz w:val="24"/>
          <w:szCs w:val="24"/>
        </w:rPr>
        <w:t>are excluded</w:t>
      </w:r>
      <w:proofErr w:type="gramEnd"/>
      <w:r w:rsidRPr="00A07FF1">
        <w:rPr>
          <w:rFonts w:cstheme="minorHAnsi"/>
          <w:sz w:val="24"/>
          <w:szCs w:val="24"/>
        </w:rPr>
        <w:t xml:space="preserve">. The exception is Exhibit 17a, which shows CIF import value. The CIF (cost, insurance, and freight) value represents the landed value of the merchandise at the first port of arrival in the United States. It </w:t>
      </w:r>
      <w:proofErr w:type="gramStart"/>
      <w:r w:rsidRPr="00A07FF1">
        <w:rPr>
          <w:rFonts w:cstheme="minorHAnsi"/>
          <w:sz w:val="24"/>
          <w:szCs w:val="24"/>
        </w:rPr>
        <w:t>is computed</w:t>
      </w:r>
      <w:proofErr w:type="gramEnd"/>
      <w:r w:rsidRPr="00A07FF1">
        <w:rPr>
          <w:rFonts w:cstheme="minorHAnsi"/>
          <w:sz w:val="24"/>
          <w:szCs w:val="24"/>
        </w:rPr>
        <w:t xml:space="preserve"> by adding import charges to the customs value and therefore excludes U.S. import duties.</w:t>
      </w:r>
    </w:p>
    <w:p w14:paraId="65DD58A3" w14:textId="77777777" w:rsidR="001705DB" w:rsidRPr="00A07FF1" w:rsidRDefault="001705DB" w:rsidP="001705DB">
      <w:pPr>
        <w:spacing w:after="120"/>
        <w:ind w:left="-360"/>
        <w:rPr>
          <w:rFonts w:cstheme="minorHAnsi"/>
          <w:sz w:val="24"/>
          <w:szCs w:val="24"/>
        </w:rPr>
      </w:pPr>
      <w:r w:rsidRPr="00A07FF1">
        <w:rPr>
          <w:rFonts w:cstheme="minorHAnsi"/>
          <w:sz w:val="24"/>
          <w:szCs w:val="24"/>
        </w:rPr>
        <w:t>Exports are valued at the f.a.s. (free alongside ship) value of merchandise at the U.S. port of export, based on the transaction price including inland freight, insurance, and other charges incurred in placing the merchandise alongside the carrier at the U.S. port of exportation.</w:t>
      </w:r>
    </w:p>
    <w:p w14:paraId="779E444C" w14:textId="77777777" w:rsidR="001705DB" w:rsidRPr="00A07FF1" w:rsidRDefault="001705DB" w:rsidP="001705DB">
      <w:pPr>
        <w:spacing w:after="0"/>
        <w:ind w:left="-360"/>
        <w:rPr>
          <w:rFonts w:cstheme="minorHAnsi"/>
          <w:b/>
          <w:i/>
          <w:sz w:val="24"/>
          <w:szCs w:val="24"/>
        </w:rPr>
      </w:pPr>
      <w:r w:rsidRPr="00A07FF1">
        <w:rPr>
          <w:rFonts w:cstheme="minorHAnsi"/>
          <w:b/>
          <w:i/>
          <w:sz w:val="24"/>
          <w:szCs w:val="24"/>
        </w:rPr>
        <w:t>Revision Procedure (Census Basis)</w:t>
      </w:r>
    </w:p>
    <w:p w14:paraId="51EC14F4" w14:textId="1F35299F" w:rsidR="00AB239C" w:rsidRPr="00A07FF1" w:rsidRDefault="001705DB" w:rsidP="001705DB">
      <w:pPr>
        <w:spacing w:after="120"/>
        <w:ind w:left="-360"/>
        <w:rPr>
          <w:rFonts w:cstheme="minorHAnsi"/>
          <w:bCs/>
          <w:iCs/>
          <w:sz w:val="24"/>
          <w:szCs w:val="24"/>
        </w:rPr>
      </w:pPr>
      <w:r w:rsidRPr="00A07FF1">
        <w:rPr>
          <w:rFonts w:cstheme="minorHAnsi"/>
          <w:b/>
          <w:bCs/>
          <w:iCs/>
          <w:sz w:val="24"/>
          <w:szCs w:val="24"/>
        </w:rPr>
        <w:t>Monthly Revisions</w:t>
      </w:r>
      <w:r w:rsidRPr="00A07FF1">
        <w:rPr>
          <w:rFonts w:cstheme="minorHAnsi"/>
          <w:bCs/>
          <w:iCs/>
          <w:sz w:val="24"/>
          <w:szCs w:val="24"/>
        </w:rPr>
        <w:t>:</w:t>
      </w:r>
      <w:r w:rsidRPr="00A07FF1">
        <w:rPr>
          <w:rFonts w:cstheme="minorHAnsi"/>
          <w:b/>
          <w:bCs/>
          <w:iCs/>
          <w:sz w:val="24"/>
          <w:szCs w:val="24"/>
        </w:rPr>
        <w:t xml:space="preserve"> </w:t>
      </w:r>
      <w:r w:rsidRPr="00A07FF1">
        <w:rPr>
          <w:rFonts w:cstheme="minorHAnsi"/>
          <w:bCs/>
          <w:iCs/>
          <w:sz w:val="24"/>
          <w:szCs w:val="24"/>
        </w:rPr>
        <w:t>Monthly data include actual month's transactions as well as a small number of transactions for previous months. Each month, the U.S. Census Bureau revises the aggregate seasonally adjusted (current and real</w:t>
      </w:r>
      <w:r w:rsidR="005E58EE" w:rsidRPr="00A07FF1">
        <w:rPr>
          <w:rFonts w:cstheme="minorHAnsi"/>
          <w:bCs/>
          <w:iCs/>
          <w:sz w:val="24"/>
          <w:szCs w:val="24"/>
        </w:rPr>
        <w:t>, or</w:t>
      </w:r>
      <w:r w:rsidRPr="00A07FF1">
        <w:rPr>
          <w:rFonts w:cstheme="minorHAnsi"/>
          <w:bCs/>
          <w:iCs/>
          <w:sz w:val="24"/>
          <w:szCs w:val="24"/>
        </w:rPr>
        <w:t xml:space="preserve"> chained-dollar) and unadjusted export, import, and trade balance figures, as well as the end-use totals for the prior month. Country detail data and commodity detail data, based on the Standard International Trade Classification (SITC) Revision 4 and the North American Industry Classification System (NAICS), </w:t>
      </w:r>
      <w:proofErr w:type="gramStart"/>
      <w:r w:rsidRPr="00A07FF1">
        <w:rPr>
          <w:rFonts w:cstheme="minorHAnsi"/>
          <w:bCs/>
          <w:iCs/>
          <w:sz w:val="24"/>
          <w:szCs w:val="24"/>
        </w:rPr>
        <w:t>are not revised</w:t>
      </w:r>
      <w:proofErr w:type="gramEnd"/>
      <w:r w:rsidRPr="00A07FF1">
        <w:rPr>
          <w:rFonts w:cstheme="minorHAnsi"/>
          <w:bCs/>
          <w:iCs/>
          <w:sz w:val="24"/>
          <w:szCs w:val="24"/>
        </w:rPr>
        <w:t xml:space="preserve"> monthly. The timing adjustment shown in Exhibit 14 is the difference between monthly data as originally reported and as recompiled.</w:t>
      </w:r>
    </w:p>
    <w:p w14:paraId="1F085795" w14:textId="476347B0" w:rsidR="00AB239C" w:rsidRPr="00A07FF1" w:rsidRDefault="00703618" w:rsidP="001705DB">
      <w:pPr>
        <w:spacing w:after="120"/>
        <w:ind w:left="-360"/>
        <w:rPr>
          <w:rFonts w:cstheme="minorHAnsi"/>
          <w:bCs/>
          <w:iCs/>
          <w:sz w:val="24"/>
          <w:szCs w:val="24"/>
        </w:rPr>
      </w:pPr>
      <w:r w:rsidRPr="00703618">
        <w:rPr>
          <w:rFonts w:cstheme="minorHAnsi"/>
          <w:bCs/>
          <w:iCs/>
          <w:sz w:val="24"/>
          <w:szCs w:val="24"/>
        </w:rPr>
        <w:t xml:space="preserve">For </w:t>
      </w:r>
      <w:r w:rsidR="00AF3BB3" w:rsidRPr="00AF3BB3">
        <w:rPr>
          <w:rFonts w:cstheme="minorHAnsi"/>
          <w:bCs/>
          <w:iCs/>
          <w:sz w:val="24"/>
          <w:szCs w:val="24"/>
        </w:rPr>
        <w:t xml:space="preserve">November, unadjusted exports of goods </w:t>
      </w:r>
      <w:proofErr w:type="gramStart"/>
      <w:r w:rsidR="00AF3BB3" w:rsidRPr="00AF3BB3">
        <w:rPr>
          <w:rFonts w:cstheme="minorHAnsi"/>
          <w:bCs/>
          <w:iCs/>
          <w:sz w:val="24"/>
          <w:szCs w:val="24"/>
        </w:rPr>
        <w:t>were revised</w:t>
      </w:r>
      <w:proofErr w:type="gramEnd"/>
      <w:r w:rsidR="00AF3BB3" w:rsidRPr="00AF3BB3">
        <w:rPr>
          <w:rFonts w:cstheme="minorHAnsi"/>
          <w:bCs/>
          <w:iCs/>
          <w:sz w:val="24"/>
          <w:szCs w:val="24"/>
        </w:rPr>
        <w:t xml:space="preserve"> down $0.2 billion and unadjusted imports of goods were revised up $0.1 billion. Goods carry-over in December was $0.1 billion (0.1 percent) for exports </w:t>
      </w:r>
      <w:r w:rsidR="00AF3BB3" w:rsidRPr="00AF3BB3">
        <w:rPr>
          <w:rFonts w:cstheme="minorHAnsi"/>
          <w:bCs/>
          <w:iCs/>
          <w:sz w:val="24"/>
          <w:szCs w:val="24"/>
        </w:rPr>
        <w:lastRenderedPageBreak/>
        <w:t xml:space="preserve">and $0.1 billion (0.1 percent) for imports. For November, revised export carry-over was </w:t>
      </w:r>
      <w:r w:rsidR="00AF3BB3">
        <w:rPr>
          <w:rFonts w:cstheme="minorHAnsi"/>
          <w:bCs/>
          <w:iCs/>
          <w:sz w:val="24"/>
          <w:szCs w:val="24"/>
        </w:rPr>
        <w:t xml:space="preserve">less than </w:t>
      </w:r>
      <w:r w:rsidR="00AF3BB3" w:rsidRPr="00AF3BB3">
        <w:rPr>
          <w:rFonts w:cstheme="minorHAnsi"/>
          <w:bCs/>
          <w:iCs/>
          <w:sz w:val="24"/>
          <w:szCs w:val="24"/>
        </w:rPr>
        <w:t>$0.</w:t>
      </w:r>
      <w:r w:rsidR="00AF3BB3">
        <w:rPr>
          <w:rFonts w:cstheme="minorHAnsi"/>
          <w:bCs/>
          <w:iCs/>
          <w:sz w:val="24"/>
          <w:szCs w:val="24"/>
        </w:rPr>
        <w:t>1</w:t>
      </w:r>
      <w:r w:rsidR="00AF3BB3" w:rsidRPr="00AF3BB3">
        <w:rPr>
          <w:rFonts w:cstheme="minorHAnsi"/>
          <w:bCs/>
          <w:iCs/>
          <w:sz w:val="24"/>
          <w:szCs w:val="24"/>
        </w:rPr>
        <w:t xml:space="preserve"> billion (</w:t>
      </w:r>
      <w:r w:rsidR="00AF3BB3">
        <w:rPr>
          <w:rFonts w:cstheme="minorHAnsi"/>
          <w:bCs/>
          <w:iCs/>
          <w:sz w:val="24"/>
          <w:szCs w:val="24"/>
        </w:rPr>
        <w:t xml:space="preserve">less than </w:t>
      </w:r>
      <w:r w:rsidR="00AF3BB3" w:rsidRPr="00AF3BB3">
        <w:rPr>
          <w:rFonts w:cstheme="minorHAnsi"/>
          <w:bCs/>
          <w:iCs/>
          <w:sz w:val="24"/>
          <w:szCs w:val="24"/>
        </w:rPr>
        <w:t>0.</w:t>
      </w:r>
      <w:r w:rsidR="00AF3BB3">
        <w:rPr>
          <w:rFonts w:cstheme="minorHAnsi"/>
          <w:bCs/>
          <w:iCs/>
          <w:sz w:val="24"/>
          <w:szCs w:val="24"/>
        </w:rPr>
        <w:t>1</w:t>
      </w:r>
      <w:r w:rsidR="00AF3BB3" w:rsidRPr="00AF3BB3">
        <w:rPr>
          <w:rFonts w:cstheme="minorHAnsi"/>
          <w:bCs/>
          <w:iCs/>
          <w:sz w:val="24"/>
          <w:szCs w:val="24"/>
        </w:rPr>
        <w:t xml:space="preserve"> percent) and revised import carry-over was </w:t>
      </w:r>
      <w:r w:rsidR="00AF3BB3">
        <w:rPr>
          <w:rFonts w:cstheme="minorHAnsi"/>
          <w:bCs/>
          <w:iCs/>
          <w:sz w:val="24"/>
          <w:szCs w:val="24"/>
        </w:rPr>
        <w:t xml:space="preserve">less than </w:t>
      </w:r>
      <w:r w:rsidR="00AF3BB3" w:rsidRPr="00AF3BB3">
        <w:rPr>
          <w:rFonts w:cstheme="minorHAnsi"/>
          <w:bCs/>
          <w:iCs/>
          <w:sz w:val="24"/>
          <w:szCs w:val="24"/>
        </w:rPr>
        <w:t>$0.</w:t>
      </w:r>
      <w:r w:rsidR="00AF3BB3">
        <w:rPr>
          <w:rFonts w:cstheme="minorHAnsi"/>
          <w:bCs/>
          <w:iCs/>
          <w:sz w:val="24"/>
          <w:szCs w:val="24"/>
        </w:rPr>
        <w:t>1</w:t>
      </w:r>
      <w:r w:rsidR="00AF3BB3" w:rsidRPr="00AF3BB3">
        <w:rPr>
          <w:rFonts w:cstheme="minorHAnsi"/>
          <w:bCs/>
          <w:iCs/>
          <w:sz w:val="24"/>
          <w:szCs w:val="24"/>
        </w:rPr>
        <w:t xml:space="preserve"> billion (</w:t>
      </w:r>
      <w:r w:rsidR="00AF3BB3">
        <w:rPr>
          <w:rFonts w:cstheme="minorHAnsi"/>
          <w:bCs/>
          <w:iCs/>
          <w:sz w:val="24"/>
          <w:szCs w:val="24"/>
        </w:rPr>
        <w:t xml:space="preserve">less than </w:t>
      </w:r>
      <w:r w:rsidR="00AF3BB3" w:rsidRPr="00AF3BB3">
        <w:rPr>
          <w:rFonts w:cstheme="minorHAnsi"/>
          <w:bCs/>
          <w:iCs/>
          <w:sz w:val="24"/>
          <w:szCs w:val="24"/>
        </w:rPr>
        <w:t>0.</w:t>
      </w:r>
      <w:r w:rsidR="00AF3BB3">
        <w:rPr>
          <w:rFonts w:cstheme="minorHAnsi"/>
          <w:bCs/>
          <w:iCs/>
          <w:sz w:val="24"/>
          <w:szCs w:val="24"/>
        </w:rPr>
        <w:t>1</w:t>
      </w:r>
      <w:r w:rsidR="00AF3BB3" w:rsidRPr="00AF3BB3">
        <w:rPr>
          <w:rFonts w:cstheme="minorHAnsi"/>
          <w:bCs/>
          <w:iCs/>
          <w:sz w:val="24"/>
          <w:szCs w:val="24"/>
        </w:rPr>
        <w:t xml:space="preserve"> percent).</w:t>
      </w:r>
      <w:r w:rsidR="00393FC8">
        <w:rPr>
          <w:rFonts w:cstheme="minorHAnsi"/>
          <w:bCs/>
          <w:iCs/>
          <w:sz w:val="24"/>
          <w:szCs w:val="24"/>
        </w:rPr>
        <w:t xml:space="preserve"> </w:t>
      </w:r>
    </w:p>
    <w:p w14:paraId="54EF5511" w14:textId="0C671821" w:rsidR="001705DB" w:rsidRPr="00A07FF1" w:rsidRDefault="001705DB" w:rsidP="001705DB">
      <w:pPr>
        <w:spacing w:after="120"/>
        <w:ind w:left="-360"/>
        <w:rPr>
          <w:rFonts w:cstheme="minorHAnsi"/>
          <w:b/>
          <w:sz w:val="24"/>
          <w:szCs w:val="24"/>
        </w:rPr>
      </w:pPr>
      <w:proofErr w:type="gramStart"/>
      <w:r w:rsidRPr="00A07FF1">
        <w:rPr>
          <w:rFonts w:cstheme="minorHAnsi"/>
          <w:b/>
          <w:sz w:val="24"/>
          <w:szCs w:val="24"/>
        </w:rPr>
        <w:t>Quarterly Revisions to Chain-Weighted Dollar Series</w:t>
      </w:r>
      <w:r w:rsidRPr="00A07FF1">
        <w:rPr>
          <w:rFonts w:cstheme="minorHAnsi"/>
          <w:sz w:val="24"/>
          <w:szCs w:val="24"/>
        </w:rPr>
        <w:t>:</w:t>
      </w:r>
      <w:r w:rsidRPr="00A07FF1">
        <w:rPr>
          <w:rFonts w:cstheme="minorHAnsi"/>
          <w:b/>
          <w:sz w:val="24"/>
          <w:szCs w:val="24"/>
        </w:rPr>
        <w:t xml:space="preserve"> </w:t>
      </w:r>
      <w:r w:rsidRPr="00A07FF1">
        <w:rPr>
          <w:rFonts w:cstheme="minorHAnsi"/>
          <w:sz w:val="24"/>
          <w:szCs w:val="24"/>
        </w:rPr>
        <w:t>For March, June, September, and December statistical month releases, revisions are made to the real</w:t>
      </w:r>
      <w:r w:rsidR="005E58EE" w:rsidRPr="00A07FF1">
        <w:rPr>
          <w:rFonts w:cstheme="minorHAnsi"/>
          <w:sz w:val="24"/>
          <w:szCs w:val="24"/>
        </w:rPr>
        <w:t>, or</w:t>
      </w:r>
      <w:r w:rsidRPr="00A07FF1">
        <w:rPr>
          <w:rFonts w:cstheme="minorHAnsi"/>
          <w:sz w:val="24"/>
          <w:szCs w:val="24"/>
        </w:rPr>
        <w:t xml:space="preserve"> chained-dollar</w:t>
      </w:r>
      <w:r w:rsidR="005E58EE" w:rsidRPr="00A07FF1">
        <w:rPr>
          <w:rFonts w:cstheme="minorHAnsi"/>
          <w:sz w:val="24"/>
          <w:szCs w:val="24"/>
        </w:rPr>
        <w:t>,</w:t>
      </w:r>
      <w:r w:rsidRPr="00A07FF1">
        <w:rPr>
          <w:rFonts w:cstheme="minorHAnsi"/>
          <w:sz w:val="24"/>
          <w:szCs w:val="24"/>
        </w:rPr>
        <w:t xml:space="preserve"> series presented in Exhibits 10 and 11: the previous five months are revised to incorporate the U.S. Bureau of Labor Statistics’ (BLS) revisions to price indexes, which are used to produce the real series and to align Census data with data published by the U.S. Bureau of Economic Analysis (BEA) in the national income and product accounts (NIPAs).</w:t>
      </w:r>
      <w:proofErr w:type="gramEnd"/>
    </w:p>
    <w:p w14:paraId="7C9F4EF4" w14:textId="77777777" w:rsidR="001705DB" w:rsidRPr="00A07FF1" w:rsidRDefault="001705DB" w:rsidP="001705DB">
      <w:pPr>
        <w:spacing w:after="120"/>
        <w:ind w:left="-360"/>
        <w:rPr>
          <w:rFonts w:cstheme="minorHAnsi"/>
          <w:sz w:val="24"/>
          <w:szCs w:val="24"/>
        </w:rPr>
      </w:pPr>
      <w:r w:rsidRPr="00A07FF1">
        <w:rPr>
          <w:rFonts w:cstheme="minorHAnsi"/>
          <w:b/>
          <w:sz w:val="24"/>
          <w:szCs w:val="24"/>
        </w:rPr>
        <w:t>Annual Revisions</w:t>
      </w:r>
      <w:r w:rsidRPr="00A07FF1">
        <w:rPr>
          <w:rFonts w:cstheme="minorHAnsi"/>
          <w:sz w:val="24"/>
          <w:szCs w:val="24"/>
        </w:rPr>
        <w:t xml:space="preserve">: Each June, not seasonally adjusted goods data </w:t>
      </w:r>
      <w:proofErr w:type="gramStart"/>
      <w:r w:rsidRPr="00A07FF1">
        <w:rPr>
          <w:rFonts w:cstheme="minorHAnsi"/>
          <w:sz w:val="24"/>
          <w:szCs w:val="24"/>
        </w:rPr>
        <w:t>are revised</w:t>
      </w:r>
      <w:proofErr w:type="gramEnd"/>
      <w:r w:rsidRPr="00A07FF1">
        <w:rPr>
          <w:rFonts w:cstheme="minorHAnsi"/>
          <w:sz w:val="24"/>
          <w:szCs w:val="24"/>
        </w:rPr>
        <w:t xml:space="preserve"> to redistribute monthly data that arrived too late for inclusion in the month of transaction. In addition, revisions </w:t>
      </w:r>
      <w:proofErr w:type="gramStart"/>
      <w:r w:rsidRPr="00A07FF1">
        <w:rPr>
          <w:rFonts w:cstheme="minorHAnsi"/>
          <w:sz w:val="24"/>
          <w:szCs w:val="24"/>
        </w:rPr>
        <w:t>are made</w:t>
      </w:r>
      <w:proofErr w:type="gramEnd"/>
      <w:r w:rsidRPr="00A07FF1">
        <w:rPr>
          <w:rFonts w:cstheme="minorHAnsi"/>
          <w:sz w:val="24"/>
          <w:szCs w:val="24"/>
        </w:rPr>
        <w:t xml:space="preserve"> to reflect corrections received subsequent to the monthly revisions. Seasonally adjusted data </w:t>
      </w:r>
      <w:proofErr w:type="gramStart"/>
      <w:r w:rsidRPr="00A07FF1">
        <w:rPr>
          <w:rFonts w:cstheme="minorHAnsi"/>
          <w:sz w:val="24"/>
          <w:szCs w:val="24"/>
        </w:rPr>
        <w:t>are also revised</w:t>
      </w:r>
      <w:proofErr w:type="gramEnd"/>
      <w:r w:rsidRPr="00A07FF1">
        <w:rPr>
          <w:rFonts w:cstheme="minorHAnsi"/>
          <w:sz w:val="24"/>
          <w:szCs w:val="24"/>
        </w:rPr>
        <w:t xml:space="preserve"> to reflect recalculated seasonal and trading-day adjustments. These revisions </w:t>
      </w:r>
      <w:proofErr w:type="gramStart"/>
      <w:r w:rsidRPr="00A07FF1">
        <w:rPr>
          <w:rFonts w:cstheme="minorHAnsi"/>
          <w:sz w:val="24"/>
          <w:szCs w:val="24"/>
        </w:rPr>
        <w:t>are reflected</w:t>
      </w:r>
      <w:proofErr w:type="gramEnd"/>
      <w:r w:rsidRPr="00A07FF1">
        <w:rPr>
          <w:rFonts w:cstheme="minorHAnsi"/>
          <w:sz w:val="24"/>
          <w:szCs w:val="24"/>
        </w:rPr>
        <w:t xml:space="preserve"> in totals, end-use, commodity, and country summary data.</w:t>
      </w:r>
    </w:p>
    <w:p w14:paraId="06A4E86C" w14:textId="77777777" w:rsidR="001705DB" w:rsidRPr="00A07FF1" w:rsidRDefault="001705DB" w:rsidP="001705DB">
      <w:pPr>
        <w:spacing w:after="120"/>
        <w:ind w:left="-360"/>
        <w:rPr>
          <w:rFonts w:cstheme="minorHAnsi"/>
          <w:i/>
          <w:sz w:val="24"/>
          <w:szCs w:val="24"/>
        </w:rPr>
      </w:pPr>
      <w:r w:rsidRPr="00A07FF1">
        <w:rPr>
          <w:rFonts w:cstheme="minorHAnsi"/>
          <w:b/>
          <w:sz w:val="24"/>
          <w:szCs w:val="24"/>
        </w:rPr>
        <w:t>Other Revisions</w:t>
      </w:r>
      <w:r w:rsidRPr="00A07FF1">
        <w:rPr>
          <w:rFonts w:cstheme="minorHAnsi"/>
          <w:sz w:val="24"/>
          <w:szCs w:val="24"/>
        </w:rPr>
        <w:t>:</w:t>
      </w:r>
      <w:r w:rsidRPr="00A07FF1">
        <w:rPr>
          <w:rFonts w:cstheme="minorHAnsi"/>
          <w:i/>
          <w:sz w:val="24"/>
          <w:szCs w:val="24"/>
        </w:rPr>
        <w:t xml:space="preserve"> </w:t>
      </w:r>
      <w:r w:rsidRPr="00A07FF1">
        <w:rPr>
          <w:rFonts w:cstheme="minorHAnsi"/>
          <w:sz w:val="24"/>
          <w:szCs w:val="24"/>
        </w:rPr>
        <w:t xml:space="preserve">For December and January statistical month releases, each prior month of the most recent full year </w:t>
      </w:r>
      <w:proofErr w:type="gramStart"/>
      <w:r w:rsidRPr="00A07FF1">
        <w:rPr>
          <w:rFonts w:cstheme="minorHAnsi"/>
          <w:sz w:val="24"/>
          <w:szCs w:val="24"/>
        </w:rPr>
        <w:t>is revised</w:t>
      </w:r>
      <w:proofErr w:type="gramEnd"/>
      <w:r w:rsidRPr="00A07FF1">
        <w:rPr>
          <w:rFonts w:cstheme="minorHAnsi"/>
          <w:sz w:val="24"/>
          <w:szCs w:val="24"/>
        </w:rPr>
        <w:t xml:space="preserve"> so that the totals of the seasonally adjusted months equal the annual totals.</w:t>
      </w:r>
    </w:p>
    <w:p w14:paraId="7F751B6C" w14:textId="77777777" w:rsidR="001705DB" w:rsidRPr="00A07FF1" w:rsidRDefault="001705DB" w:rsidP="001705DB">
      <w:pPr>
        <w:spacing w:after="0"/>
        <w:ind w:left="-360"/>
        <w:rPr>
          <w:rFonts w:cstheme="minorHAnsi"/>
          <w:b/>
          <w:i/>
          <w:sz w:val="24"/>
          <w:szCs w:val="24"/>
        </w:rPr>
      </w:pPr>
      <w:r w:rsidRPr="00A07FF1">
        <w:rPr>
          <w:rFonts w:cstheme="minorHAnsi"/>
          <w:b/>
          <w:i/>
          <w:sz w:val="24"/>
          <w:szCs w:val="24"/>
        </w:rPr>
        <w:t>U.S./Canada Data Exchange and Substitution</w:t>
      </w:r>
    </w:p>
    <w:p w14:paraId="4AA9F42C" w14:textId="77777777" w:rsidR="001705DB" w:rsidRPr="00A07FF1" w:rsidRDefault="001705DB" w:rsidP="001705DB">
      <w:pPr>
        <w:spacing w:after="120"/>
        <w:ind w:left="-360"/>
        <w:rPr>
          <w:rFonts w:cstheme="minorHAnsi"/>
          <w:sz w:val="24"/>
          <w:szCs w:val="24"/>
        </w:rPr>
      </w:pPr>
      <w:r w:rsidRPr="00A07FF1">
        <w:rPr>
          <w:rFonts w:cstheme="minorHAnsi"/>
          <w:sz w:val="24"/>
          <w:szCs w:val="24"/>
        </w:rPr>
        <w:t xml:space="preserve">Data for U.S. exports to Canada </w:t>
      </w:r>
      <w:proofErr w:type="gramStart"/>
      <w:r w:rsidRPr="00A07FF1">
        <w:rPr>
          <w:rFonts w:cstheme="minorHAnsi"/>
          <w:sz w:val="24"/>
          <w:szCs w:val="24"/>
        </w:rPr>
        <w:t>are derived</w:t>
      </w:r>
      <w:proofErr w:type="gramEnd"/>
      <w:r w:rsidRPr="00A07FF1">
        <w:rPr>
          <w:rFonts w:cstheme="minorHAnsi"/>
          <w:sz w:val="24"/>
          <w:szCs w:val="24"/>
        </w:rPr>
        <w:t xml:space="preserve"> from import data compiled by Canada. The use of Canada's import data to produce U.S. export data requires several alignments in order to compare the two series.</w:t>
      </w:r>
    </w:p>
    <w:p w14:paraId="75091239" w14:textId="685BF5A2" w:rsidR="001705DB" w:rsidRPr="00A07FF1" w:rsidRDefault="001705DB" w:rsidP="00701529">
      <w:pPr>
        <w:numPr>
          <w:ilvl w:val="0"/>
          <w:numId w:val="14"/>
        </w:numPr>
        <w:spacing w:after="120"/>
        <w:rPr>
          <w:rFonts w:cstheme="minorHAnsi"/>
          <w:sz w:val="24"/>
          <w:szCs w:val="24"/>
        </w:rPr>
      </w:pPr>
      <w:r w:rsidRPr="00A07FF1">
        <w:rPr>
          <w:rFonts w:cstheme="minorHAnsi"/>
          <w:i/>
          <w:iCs/>
          <w:sz w:val="24"/>
          <w:szCs w:val="24"/>
        </w:rPr>
        <w:t>Coverage</w:t>
      </w:r>
      <w:r w:rsidRPr="00A07FF1">
        <w:rPr>
          <w:rFonts w:cstheme="minorHAnsi"/>
          <w:sz w:val="24"/>
          <w:szCs w:val="24"/>
        </w:rPr>
        <w:t xml:space="preserve"> - </w:t>
      </w:r>
      <w:r w:rsidR="00AE6AC1" w:rsidRPr="00A07FF1">
        <w:rPr>
          <w:rFonts w:cstheme="minorHAnsi"/>
          <w:sz w:val="24"/>
          <w:szCs w:val="24"/>
        </w:rPr>
        <w:t xml:space="preserve">Canadian imports </w:t>
      </w:r>
      <w:proofErr w:type="gramStart"/>
      <w:r w:rsidR="00AE6AC1" w:rsidRPr="00A07FF1">
        <w:rPr>
          <w:rFonts w:cstheme="minorHAnsi"/>
          <w:sz w:val="24"/>
          <w:szCs w:val="24"/>
        </w:rPr>
        <w:t>are based</w:t>
      </w:r>
      <w:proofErr w:type="gramEnd"/>
      <w:r w:rsidR="00AE6AC1" w:rsidRPr="00A07FF1">
        <w:rPr>
          <w:rFonts w:cstheme="minorHAnsi"/>
          <w:sz w:val="24"/>
          <w:szCs w:val="24"/>
        </w:rPr>
        <w:t xml:space="preserve"> on country of origin. U.S. goods shipped from a third country are included. U.S. exports exclude these foreign shipments. For </w:t>
      </w:r>
      <w:r w:rsidR="006302C5">
        <w:rPr>
          <w:rFonts w:cstheme="minorHAnsi"/>
          <w:sz w:val="24"/>
          <w:szCs w:val="24"/>
        </w:rPr>
        <w:t xml:space="preserve">December </w:t>
      </w:r>
      <w:r w:rsidR="00D73A79">
        <w:rPr>
          <w:rFonts w:cstheme="minorHAnsi"/>
          <w:sz w:val="24"/>
          <w:szCs w:val="24"/>
        </w:rPr>
        <w:t>2019</w:t>
      </w:r>
      <w:r w:rsidR="00AE6AC1" w:rsidRPr="00A07FF1">
        <w:rPr>
          <w:rFonts w:cstheme="minorHAnsi"/>
          <w:sz w:val="24"/>
          <w:szCs w:val="24"/>
        </w:rPr>
        <w:t>, these shipments totaled $</w:t>
      </w:r>
      <w:r w:rsidR="006302C5">
        <w:rPr>
          <w:rFonts w:cstheme="minorHAnsi"/>
          <w:sz w:val="24"/>
          <w:szCs w:val="24"/>
        </w:rPr>
        <w:t>205.5</w:t>
      </w:r>
      <w:r w:rsidR="00AE6AC1" w:rsidRPr="00A07FF1">
        <w:rPr>
          <w:rFonts w:cstheme="minorHAnsi"/>
          <w:sz w:val="24"/>
          <w:szCs w:val="24"/>
        </w:rPr>
        <w:t xml:space="preserve"> million. U.S. export coverage also excludes U.S. postal shipments to Canada. For </w:t>
      </w:r>
      <w:r w:rsidR="006302C5">
        <w:rPr>
          <w:rFonts w:cstheme="minorHAnsi"/>
          <w:sz w:val="24"/>
          <w:szCs w:val="24"/>
        </w:rPr>
        <w:t>December</w:t>
      </w:r>
      <w:r w:rsidR="00D73A79">
        <w:rPr>
          <w:rFonts w:cstheme="minorHAnsi"/>
          <w:sz w:val="24"/>
          <w:szCs w:val="24"/>
        </w:rPr>
        <w:t xml:space="preserve"> 2019</w:t>
      </w:r>
      <w:r w:rsidR="00AE6AC1" w:rsidRPr="00A07FF1">
        <w:rPr>
          <w:rFonts w:cstheme="minorHAnsi"/>
          <w:sz w:val="24"/>
          <w:szCs w:val="24"/>
        </w:rPr>
        <w:t>, these shipments totaled $</w:t>
      </w:r>
      <w:r w:rsidR="006302C5">
        <w:rPr>
          <w:rFonts w:cstheme="minorHAnsi"/>
          <w:sz w:val="24"/>
          <w:szCs w:val="24"/>
        </w:rPr>
        <w:t>26.5</w:t>
      </w:r>
      <w:r w:rsidR="00AE6AC1" w:rsidRPr="00A07FF1">
        <w:rPr>
          <w:rFonts w:cstheme="minorHAnsi"/>
          <w:sz w:val="24"/>
          <w:szCs w:val="24"/>
        </w:rPr>
        <w:t xml:space="preserve"> million</w:t>
      </w:r>
      <w:r w:rsidRPr="00A07FF1">
        <w:rPr>
          <w:rFonts w:cstheme="minorHAnsi"/>
          <w:sz w:val="24"/>
          <w:szCs w:val="24"/>
        </w:rPr>
        <w:t>.</w:t>
      </w:r>
    </w:p>
    <w:p w14:paraId="780D1787" w14:textId="77777777" w:rsidR="001705DB" w:rsidRPr="00A07FF1" w:rsidRDefault="001705DB" w:rsidP="001705DB">
      <w:pPr>
        <w:spacing w:after="120"/>
        <w:ind w:left="360"/>
        <w:rPr>
          <w:rFonts w:cstheme="minorHAnsi"/>
          <w:sz w:val="24"/>
          <w:szCs w:val="24"/>
        </w:rPr>
      </w:pPr>
      <w:r w:rsidRPr="00A07FF1">
        <w:rPr>
          <w:rFonts w:cstheme="minorHAnsi"/>
          <w:sz w:val="24"/>
          <w:szCs w:val="24"/>
        </w:rPr>
        <w:t>U.S. import coverage includes shipments of railcars and locomotives from Canada. Effective with January 2004 statistics, Canada excludes these shipments from its goods exports to the United States, therefore creating coverage differences between the two countries for these goods.</w:t>
      </w:r>
    </w:p>
    <w:p w14:paraId="294C9BF1" w14:textId="196F5B06"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Valuation</w:t>
      </w:r>
      <w:r w:rsidRPr="00A07FF1">
        <w:rPr>
          <w:rFonts w:cstheme="minorHAnsi"/>
          <w:sz w:val="24"/>
          <w:szCs w:val="24"/>
        </w:rPr>
        <w:t xml:space="preserve"> - </w:t>
      </w:r>
      <w:r w:rsidR="00AE6AC1" w:rsidRPr="00A07FF1">
        <w:rPr>
          <w:rFonts w:cstheme="minorHAnsi"/>
          <w:sz w:val="24"/>
          <w:szCs w:val="24"/>
        </w:rPr>
        <w:t xml:space="preserve">Canadian imports are valued at the point of origin in the United States. However, U.S. exports are valued at the port of exit in the United States and include inland freight charges, making the U.S. export value slightly larger than the Canadian import value. Canada requires inland freight to </w:t>
      </w:r>
      <w:proofErr w:type="gramStart"/>
      <w:r w:rsidR="00AE6AC1" w:rsidRPr="00A07FF1">
        <w:rPr>
          <w:rFonts w:cstheme="minorHAnsi"/>
          <w:sz w:val="24"/>
          <w:szCs w:val="24"/>
        </w:rPr>
        <w:t>be reported</w:t>
      </w:r>
      <w:proofErr w:type="gramEnd"/>
      <w:r w:rsidR="00AE6AC1" w:rsidRPr="00A07FF1">
        <w:rPr>
          <w:rFonts w:cstheme="minorHAnsi"/>
          <w:sz w:val="24"/>
          <w:szCs w:val="24"/>
        </w:rPr>
        <w:t xml:space="preserve"> separately from the value of the goods. Combining the inland freight and the </w:t>
      </w:r>
      <w:r w:rsidR="00AE6AC1" w:rsidRPr="00A07FF1">
        <w:rPr>
          <w:rFonts w:cstheme="minorHAnsi"/>
          <w:sz w:val="24"/>
          <w:szCs w:val="24"/>
        </w:rPr>
        <w:lastRenderedPageBreak/>
        <w:t xml:space="preserve">Canadian reported import value provides a consistent valuation for all U.S. exports. Inland freight charges for </w:t>
      </w:r>
      <w:r w:rsidR="006302C5">
        <w:rPr>
          <w:rFonts w:cstheme="minorHAnsi"/>
          <w:sz w:val="24"/>
          <w:szCs w:val="24"/>
        </w:rPr>
        <w:t>December</w:t>
      </w:r>
      <w:r w:rsidR="00383A6B">
        <w:rPr>
          <w:rFonts w:cstheme="minorHAnsi"/>
          <w:sz w:val="24"/>
          <w:szCs w:val="24"/>
        </w:rPr>
        <w:t xml:space="preserve"> </w:t>
      </w:r>
      <w:r w:rsidR="00D73A79">
        <w:rPr>
          <w:rFonts w:cstheme="minorHAnsi"/>
          <w:sz w:val="24"/>
          <w:szCs w:val="24"/>
        </w:rPr>
        <w:t>2019</w:t>
      </w:r>
      <w:r w:rsidR="00AE6AC1" w:rsidRPr="00A07FF1">
        <w:rPr>
          <w:rFonts w:cstheme="minorHAnsi"/>
          <w:sz w:val="24"/>
          <w:szCs w:val="24"/>
        </w:rPr>
        <w:t xml:space="preserve"> accounted for </w:t>
      </w:r>
      <w:r w:rsidR="002959F5">
        <w:rPr>
          <w:rFonts w:cstheme="minorHAnsi"/>
          <w:sz w:val="24"/>
          <w:szCs w:val="24"/>
        </w:rPr>
        <w:t>1.8</w:t>
      </w:r>
      <w:r w:rsidR="00AE6AC1" w:rsidRPr="00A07FF1">
        <w:rPr>
          <w:rFonts w:cstheme="minorHAnsi"/>
          <w:sz w:val="24"/>
          <w:szCs w:val="24"/>
        </w:rPr>
        <w:t xml:space="preserve"> percent of the value of U.S. exports to Canada</w:t>
      </w:r>
      <w:r w:rsidRPr="00A07FF1">
        <w:rPr>
          <w:rFonts w:cstheme="minorHAnsi"/>
          <w:sz w:val="24"/>
          <w:szCs w:val="24"/>
        </w:rPr>
        <w:t>.</w:t>
      </w:r>
    </w:p>
    <w:p w14:paraId="7B0736CD" w14:textId="0C90775F"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Re-exports</w:t>
      </w:r>
      <w:r w:rsidRPr="00A07FF1">
        <w:rPr>
          <w:rFonts w:cstheme="minorHAnsi"/>
          <w:iCs/>
          <w:sz w:val="24"/>
          <w:szCs w:val="24"/>
        </w:rPr>
        <w:t xml:space="preserve"> - </w:t>
      </w:r>
      <w:r w:rsidR="00AE6AC1" w:rsidRPr="00A07FF1">
        <w:rPr>
          <w:rFonts w:cstheme="minorHAnsi"/>
          <w:iCs/>
          <w:sz w:val="24"/>
          <w:szCs w:val="24"/>
        </w:rPr>
        <w:t xml:space="preserve">Unlike Canadian imports, which </w:t>
      </w:r>
      <w:proofErr w:type="gramStart"/>
      <w:r w:rsidR="00AE6AC1" w:rsidRPr="00A07FF1">
        <w:rPr>
          <w:rFonts w:cstheme="minorHAnsi"/>
          <w:iCs/>
          <w:sz w:val="24"/>
          <w:szCs w:val="24"/>
        </w:rPr>
        <w:t>are based</w:t>
      </w:r>
      <w:proofErr w:type="gramEnd"/>
      <w:r w:rsidR="00AE6AC1" w:rsidRPr="00A07FF1">
        <w:rPr>
          <w:rFonts w:cstheme="minorHAnsi"/>
          <w:iCs/>
          <w:sz w:val="24"/>
          <w:szCs w:val="24"/>
        </w:rPr>
        <w:t xml:space="preserve"> on country of origin, U.S. exports include re-exports of foreign goods. Therefore, the aggregate U.S. export figure is slightly larger than the Canadian import figure. For </w:t>
      </w:r>
      <w:r w:rsidR="006302C5">
        <w:rPr>
          <w:rFonts w:cstheme="minorHAnsi"/>
          <w:sz w:val="24"/>
          <w:szCs w:val="24"/>
        </w:rPr>
        <w:t>December</w:t>
      </w:r>
      <w:r w:rsidR="001D276D">
        <w:rPr>
          <w:rFonts w:cstheme="minorHAnsi"/>
          <w:sz w:val="24"/>
          <w:szCs w:val="24"/>
        </w:rPr>
        <w:t xml:space="preserve"> 2019</w:t>
      </w:r>
      <w:r w:rsidR="00AE6AC1" w:rsidRPr="00A07FF1">
        <w:rPr>
          <w:rFonts w:cstheme="minorHAnsi"/>
          <w:iCs/>
          <w:sz w:val="24"/>
          <w:szCs w:val="24"/>
        </w:rPr>
        <w:t>, re-exports to Canada were $</w:t>
      </w:r>
      <w:r w:rsidR="007B64BC">
        <w:rPr>
          <w:rFonts w:cstheme="minorHAnsi"/>
          <w:iCs/>
          <w:sz w:val="24"/>
          <w:szCs w:val="24"/>
        </w:rPr>
        <w:t>4,</w:t>
      </w:r>
      <w:r w:rsidR="006302C5">
        <w:rPr>
          <w:rFonts w:cstheme="minorHAnsi"/>
          <w:iCs/>
          <w:sz w:val="24"/>
          <w:szCs w:val="24"/>
        </w:rPr>
        <w:t>020.3</w:t>
      </w:r>
      <w:r w:rsidR="00AE6AC1" w:rsidRPr="00A07FF1">
        <w:rPr>
          <w:rFonts w:cstheme="minorHAnsi"/>
          <w:iCs/>
          <w:sz w:val="24"/>
          <w:szCs w:val="24"/>
        </w:rPr>
        <w:t xml:space="preserve"> million</w:t>
      </w:r>
      <w:r w:rsidRPr="00A07FF1">
        <w:rPr>
          <w:rFonts w:cstheme="minorHAnsi"/>
          <w:sz w:val="24"/>
          <w:szCs w:val="24"/>
        </w:rPr>
        <w:t>.</w:t>
      </w:r>
    </w:p>
    <w:p w14:paraId="5ECE56E6" w14:textId="7677DD4D"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Exchange Rate</w:t>
      </w:r>
      <w:r w:rsidRPr="00A07FF1">
        <w:rPr>
          <w:rFonts w:cstheme="minorHAnsi"/>
          <w:iCs/>
          <w:sz w:val="24"/>
          <w:szCs w:val="24"/>
        </w:rPr>
        <w:t xml:space="preserve"> - </w:t>
      </w:r>
      <w:r w:rsidR="00AE6AC1" w:rsidRPr="00A07FF1">
        <w:rPr>
          <w:rFonts w:cstheme="minorHAnsi"/>
          <w:sz w:val="24"/>
          <w:szCs w:val="24"/>
        </w:rPr>
        <w:t xml:space="preserve">Average monthly exchange rates </w:t>
      </w:r>
      <w:proofErr w:type="gramStart"/>
      <w:r w:rsidR="00AE6AC1" w:rsidRPr="00A07FF1">
        <w:rPr>
          <w:rFonts w:cstheme="minorHAnsi"/>
          <w:sz w:val="24"/>
          <w:szCs w:val="24"/>
        </w:rPr>
        <w:t>are applied</w:t>
      </w:r>
      <w:proofErr w:type="gramEnd"/>
      <w:r w:rsidR="00AE6AC1" w:rsidRPr="00A07FF1">
        <w:rPr>
          <w:rFonts w:cstheme="minorHAnsi"/>
          <w:sz w:val="24"/>
          <w:szCs w:val="24"/>
        </w:rPr>
        <w:t xml:space="preserve"> to convert the published data to U.S. currency. For </w:t>
      </w:r>
      <w:r w:rsidR="00CB1263">
        <w:rPr>
          <w:rFonts w:cstheme="minorHAnsi"/>
          <w:sz w:val="24"/>
          <w:szCs w:val="24"/>
        </w:rPr>
        <w:t>December</w:t>
      </w:r>
      <w:r w:rsidR="00D73A79">
        <w:rPr>
          <w:rFonts w:cstheme="minorHAnsi"/>
          <w:sz w:val="24"/>
          <w:szCs w:val="24"/>
        </w:rPr>
        <w:t xml:space="preserve"> 2019</w:t>
      </w:r>
      <w:r w:rsidR="00AE6AC1" w:rsidRPr="00A07FF1">
        <w:rPr>
          <w:rFonts w:cstheme="minorHAnsi"/>
          <w:sz w:val="24"/>
          <w:szCs w:val="24"/>
        </w:rPr>
        <w:t>, the average exchange rate was 1.</w:t>
      </w:r>
      <w:r w:rsidR="00383A6B">
        <w:rPr>
          <w:rFonts w:cstheme="minorHAnsi"/>
          <w:sz w:val="24"/>
          <w:szCs w:val="24"/>
        </w:rPr>
        <w:t>3</w:t>
      </w:r>
      <w:r w:rsidR="002A0125">
        <w:rPr>
          <w:rFonts w:cstheme="minorHAnsi"/>
          <w:sz w:val="24"/>
          <w:szCs w:val="24"/>
        </w:rPr>
        <w:t>1</w:t>
      </w:r>
      <w:r w:rsidR="006302C5">
        <w:rPr>
          <w:rFonts w:cstheme="minorHAnsi"/>
          <w:sz w:val="24"/>
          <w:szCs w:val="24"/>
        </w:rPr>
        <w:t>6</w:t>
      </w:r>
      <w:r w:rsidR="002A0125">
        <w:rPr>
          <w:rFonts w:cstheme="minorHAnsi"/>
          <w:sz w:val="24"/>
          <w:szCs w:val="24"/>
        </w:rPr>
        <w:t>9</w:t>
      </w:r>
      <w:r w:rsidR="00AE6AC1" w:rsidRPr="00A07FF1">
        <w:rPr>
          <w:rFonts w:cstheme="minorHAnsi"/>
          <w:sz w:val="24"/>
          <w:szCs w:val="24"/>
        </w:rPr>
        <w:t xml:space="preserve"> Canadian dollars per U.S. dollar</w:t>
      </w:r>
      <w:r w:rsidRPr="00A07FF1">
        <w:rPr>
          <w:rFonts w:cstheme="minorHAnsi"/>
          <w:sz w:val="24"/>
          <w:szCs w:val="24"/>
        </w:rPr>
        <w:t>.</w:t>
      </w:r>
    </w:p>
    <w:p w14:paraId="2CE89C48" w14:textId="77777777" w:rsidR="001705DB" w:rsidRPr="00A07FF1" w:rsidRDefault="001705DB" w:rsidP="001705DB">
      <w:pPr>
        <w:numPr>
          <w:ilvl w:val="0"/>
          <w:numId w:val="14"/>
        </w:numPr>
        <w:spacing w:after="120"/>
        <w:rPr>
          <w:rFonts w:cstheme="minorHAnsi"/>
          <w:sz w:val="24"/>
          <w:szCs w:val="24"/>
        </w:rPr>
      </w:pPr>
      <w:r w:rsidRPr="00A07FF1">
        <w:rPr>
          <w:rFonts w:cstheme="minorHAnsi"/>
          <w:i/>
          <w:iCs/>
          <w:sz w:val="24"/>
          <w:szCs w:val="24"/>
        </w:rPr>
        <w:t>Other</w:t>
      </w:r>
      <w:r w:rsidRPr="00A07FF1">
        <w:rPr>
          <w:rFonts w:cstheme="minorHAnsi"/>
          <w:sz w:val="24"/>
          <w:szCs w:val="24"/>
        </w:rPr>
        <w:t xml:space="preserve"> - There are other minor differences, such as rounding error, that are statistically insignificant.</w:t>
      </w:r>
    </w:p>
    <w:p w14:paraId="72C0511E" w14:textId="77777777" w:rsidR="001705DB" w:rsidRPr="00A07FF1" w:rsidRDefault="001705DB" w:rsidP="001705DB">
      <w:pPr>
        <w:spacing w:after="120"/>
        <w:ind w:left="-360"/>
        <w:rPr>
          <w:rFonts w:cstheme="minorHAnsi"/>
          <w:sz w:val="24"/>
          <w:szCs w:val="24"/>
        </w:rPr>
      </w:pPr>
      <w:r w:rsidRPr="00A07FF1">
        <w:rPr>
          <w:rFonts w:cstheme="minorHAnsi"/>
          <w:b/>
          <w:sz w:val="24"/>
          <w:szCs w:val="24"/>
        </w:rPr>
        <w:t>Canadian Estimates</w:t>
      </w:r>
      <w:r w:rsidRPr="00A07FF1">
        <w:rPr>
          <w:rFonts w:cstheme="minorHAnsi"/>
          <w:sz w:val="24"/>
          <w:szCs w:val="24"/>
        </w:rPr>
        <w:t xml:space="preserve">: Effective with January 2001 statistics, the current month data for exports to Canada contain an estimate for late arrivals and corrections. In the following month, this estimate </w:t>
      </w:r>
      <w:proofErr w:type="gramStart"/>
      <w:r w:rsidRPr="00A07FF1">
        <w:rPr>
          <w:rFonts w:cstheme="minorHAnsi"/>
          <w:sz w:val="24"/>
          <w:szCs w:val="24"/>
        </w:rPr>
        <w:t>is replaced</w:t>
      </w:r>
      <w:proofErr w:type="gramEnd"/>
      <w:r w:rsidRPr="00A07FF1">
        <w:rPr>
          <w:rFonts w:cstheme="minorHAnsi"/>
          <w:sz w:val="24"/>
          <w:szCs w:val="24"/>
        </w:rPr>
        <w:t>, in the news release exhibits only, with the actual value of late receipts and corrections. This estimate improves the current month data for exports to Canada and treats late receipts for exports to Canada in a manner that is more consistent with the treatment of late receipts for exports to other countries.</w:t>
      </w:r>
    </w:p>
    <w:p w14:paraId="56F4D95E" w14:textId="77777777" w:rsidR="001705DB" w:rsidRPr="00A07FF1" w:rsidRDefault="001705DB" w:rsidP="001705DB">
      <w:pPr>
        <w:spacing w:after="0"/>
        <w:ind w:left="-360"/>
        <w:rPr>
          <w:rFonts w:cstheme="minorHAnsi"/>
          <w:b/>
          <w:bCs/>
          <w:i/>
          <w:sz w:val="24"/>
          <w:szCs w:val="24"/>
        </w:rPr>
      </w:pPr>
      <w:proofErr w:type="spellStart"/>
      <w:r w:rsidRPr="00A07FF1">
        <w:rPr>
          <w:rFonts w:cstheme="minorHAnsi"/>
          <w:b/>
          <w:bCs/>
          <w:i/>
          <w:sz w:val="24"/>
          <w:szCs w:val="24"/>
        </w:rPr>
        <w:t>Nonsampling</w:t>
      </w:r>
      <w:proofErr w:type="spellEnd"/>
      <w:r w:rsidRPr="00A07FF1">
        <w:rPr>
          <w:rFonts w:cstheme="minorHAnsi"/>
          <w:b/>
          <w:bCs/>
          <w:i/>
          <w:sz w:val="24"/>
          <w:szCs w:val="24"/>
        </w:rPr>
        <w:t xml:space="preserve"> Errors</w:t>
      </w:r>
    </w:p>
    <w:p w14:paraId="0A43D387" w14:textId="77777777" w:rsidR="001705DB" w:rsidRPr="00A07FF1" w:rsidRDefault="001705DB" w:rsidP="001705DB">
      <w:pPr>
        <w:spacing w:after="120"/>
        <w:ind w:left="-360"/>
        <w:rPr>
          <w:rFonts w:cstheme="minorHAnsi"/>
          <w:sz w:val="24"/>
          <w:szCs w:val="24"/>
        </w:rPr>
      </w:pPr>
      <w:r w:rsidRPr="00A07FF1">
        <w:rPr>
          <w:rFonts w:cstheme="minorHAnsi"/>
          <w:sz w:val="24"/>
          <w:szCs w:val="24"/>
        </w:rPr>
        <w:t xml:space="preserve">The goods data are a complete enumeration of documents collected by CBP and are not subject to sampling errors. Quality assurance procedures </w:t>
      </w:r>
      <w:proofErr w:type="gramStart"/>
      <w:r w:rsidRPr="00A07FF1">
        <w:rPr>
          <w:rFonts w:cstheme="minorHAnsi"/>
          <w:sz w:val="24"/>
          <w:szCs w:val="24"/>
        </w:rPr>
        <w:t>are performed</w:t>
      </w:r>
      <w:proofErr w:type="gramEnd"/>
      <w:r w:rsidRPr="00A07FF1">
        <w:rPr>
          <w:rFonts w:cstheme="minorHAnsi"/>
          <w:sz w:val="24"/>
          <w:szCs w:val="24"/>
        </w:rPr>
        <w:t xml:space="preserve"> at every stage of collection, processing, and tabulation. However, the data are still subject to several types of </w:t>
      </w:r>
      <w:proofErr w:type="spellStart"/>
      <w:r w:rsidRPr="00A07FF1">
        <w:rPr>
          <w:rFonts w:cstheme="minorHAnsi"/>
          <w:sz w:val="24"/>
          <w:szCs w:val="24"/>
        </w:rPr>
        <w:t>nonsampling</w:t>
      </w:r>
      <w:proofErr w:type="spellEnd"/>
      <w:r w:rsidRPr="00A07FF1">
        <w:rPr>
          <w:rFonts w:cstheme="minorHAnsi"/>
          <w:sz w:val="24"/>
          <w:szCs w:val="24"/>
        </w:rPr>
        <w:t xml:space="preserve"> errors. The most significant of these include reporting errors, undocumented shipments, timeliness, data capture errors, and errors in the estimation of low-valued transactions.</w:t>
      </w:r>
    </w:p>
    <w:p w14:paraId="6716967E"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Reporting Errors</w:t>
      </w:r>
      <w:r w:rsidRPr="00A07FF1">
        <w:rPr>
          <w:rFonts w:cstheme="minorHAnsi"/>
          <w:bCs/>
          <w:sz w:val="24"/>
          <w:szCs w:val="24"/>
        </w:rPr>
        <w:t>:</w:t>
      </w:r>
      <w:r w:rsidRPr="00A07FF1">
        <w:rPr>
          <w:rFonts w:cstheme="minorHAnsi"/>
          <w:sz w:val="24"/>
          <w:szCs w:val="24"/>
        </w:rPr>
        <w:t xml:space="preserve"> Reporting errors are mistakes or omissions made by importers, exporters, or their agents in their import or export declarations. Most errors involve missing or invalid commodity classification codes and missing or incorrect quantities or shipping weights. They have a negligible effect on aggregate import, export, and balance of trade statistics. However, they can affect the detailed commodity statistics.</w:t>
      </w:r>
    </w:p>
    <w:p w14:paraId="68983F4E"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Undocumented Shipments</w:t>
      </w:r>
      <w:r w:rsidRPr="00A07FF1">
        <w:rPr>
          <w:rFonts w:cstheme="minorHAnsi"/>
          <w:bCs/>
          <w:sz w:val="24"/>
          <w:szCs w:val="24"/>
        </w:rPr>
        <w:t>:</w:t>
      </w:r>
      <w:r w:rsidRPr="00A07FF1">
        <w:rPr>
          <w:rFonts w:cstheme="minorHAnsi"/>
          <w:b/>
          <w:bCs/>
          <w:sz w:val="24"/>
          <w:szCs w:val="24"/>
        </w:rPr>
        <w:t xml:space="preserve"> </w:t>
      </w:r>
      <w:r w:rsidRPr="00A07FF1">
        <w:rPr>
          <w:rFonts w:cstheme="minorHAnsi"/>
          <w:sz w:val="24"/>
          <w:szCs w:val="24"/>
        </w:rPr>
        <w:t xml:space="preserve">Federal regulations require importers, exporters, or their agents to report all merchandise shipments above established exemption levels. The Census Bureau has determined that not all required documents </w:t>
      </w:r>
      <w:proofErr w:type="gramStart"/>
      <w:r w:rsidRPr="00A07FF1">
        <w:rPr>
          <w:rFonts w:cstheme="minorHAnsi"/>
          <w:sz w:val="24"/>
          <w:szCs w:val="24"/>
        </w:rPr>
        <w:t>are filed</w:t>
      </w:r>
      <w:proofErr w:type="gramEnd"/>
      <w:r w:rsidRPr="00A07FF1">
        <w:rPr>
          <w:rFonts w:cstheme="minorHAnsi"/>
          <w:sz w:val="24"/>
          <w:szCs w:val="24"/>
        </w:rPr>
        <w:t>, particularly for exports.</w:t>
      </w:r>
    </w:p>
    <w:p w14:paraId="33C183E1"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Timeliness and Data Capture Errors</w:t>
      </w:r>
      <w:r w:rsidRPr="00A07FF1">
        <w:rPr>
          <w:rFonts w:cstheme="minorHAnsi"/>
          <w:sz w:val="24"/>
          <w:szCs w:val="24"/>
        </w:rPr>
        <w:t xml:space="preserve">: The Census Bureau captures import and export information from administrative documents and through various automated collection programs. Documents may be lost, </w:t>
      </w:r>
      <w:r w:rsidRPr="00A07FF1">
        <w:rPr>
          <w:rFonts w:cstheme="minorHAnsi"/>
          <w:sz w:val="24"/>
          <w:szCs w:val="24"/>
        </w:rPr>
        <w:lastRenderedPageBreak/>
        <w:t>and data may be incorrectly keyed, coded, or recorded. Transactions may be included in a subsequent month’s statistics if received late.</w:t>
      </w:r>
    </w:p>
    <w:p w14:paraId="21ED21D6"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Low-Valued Transactions</w:t>
      </w:r>
      <w:r w:rsidRPr="00A07FF1">
        <w:rPr>
          <w:rFonts w:cstheme="minorHAnsi"/>
          <w:sz w:val="24"/>
          <w:szCs w:val="24"/>
        </w:rPr>
        <w:t xml:space="preserve">: The total values of transactions valued as much as or below $2,500 for exports and $2,000 ($250 for certain quota items) for imports </w:t>
      </w:r>
      <w:proofErr w:type="gramStart"/>
      <w:r w:rsidRPr="00A07FF1">
        <w:rPr>
          <w:rFonts w:cstheme="minorHAnsi"/>
          <w:sz w:val="24"/>
          <w:szCs w:val="24"/>
        </w:rPr>
        <w:t>are estimated</w:t>
      </w:r>
      <w:proofErr w:type="gramEnd"/>
      <w:r w:rsidRPr="00A07FF1">
        <w:rPr>
          <w:rFonts w:cstheme="minorHAnsi"/>
          <w:sz w:val="24"/>
          <w:szCs w:val="24"/>
        </w:rPr>
        <w:t xml:space="preserve"> for each country, using factors based on the ratios of low-valued shipments to individual country totals for past periods.</w:t>
      </w:r>
    </w:p>
    <w:p w14:paraId="2137D314" w14:textId="1201E925" w:rsidR="001705DB" w:rsidRPr="00A07FF1" w:rsidRDefault="001705DB" w:rsidP="001705DB">
      <w:pPr>
        <w:spacing w:after="120"/>
        <w:ind w:left="-360"/>
        <w:rPr>
          <w:rFonts w:cstheme="minorHAnsi"/>
          <w:sz w:val="24"/>
          <w:szCs w:val="24"/>
        </w:rPr>
      </w:pPr>
      <w:r w:rsidRPr="00A07FF1">
        <w:rPr>
          <w:rFonts w:cstheme="minorHAnsi"/>
          <w:sz w:val="24"/>
          <w:szCs w:val="24"/>
        </w:rPr>
        <w:t xml:space="preserve">The Census Bureau recommends that data users incorporate this information into their analyses, as </w:t>
      </w:r>
      <w:proofErr w:type="spellStart"/>
      <w:r w:rsidRPr="00A07FF1">
        <w:rPr>
          <w:rFonts w:cstheme="minorHAnsi"/>
          <w:sz w:val="24"/>
          <w:szCs w:val="24"/>
        </w:rPr>
        <w:t>nonsampling</w:t>
      </w:r>
      <w:proofErr w:type="spellEnd"/>
      <w:r w:rsidRPr="00A07FF1">
        <w:rPr>
          <w:rFonts w:cstheme="minorHAnsi"/>
          <w:sz w:val="24"/>
          <w:szCs w:val="24"/>
        </w:rPr>
        <w:t xml:space="preserve"> errors could </w:t>
      </w:r>
      <w:proofErr w:type="gramStart"/>
      <w:r w:rsidRPr="00A07FF1">
        <w:rPr>
          <w:rFonts w:cstheme="minorHAnsi"/>
          <w:sz w:val="24"/>
          <w:szCs w:val="24"/>
        </w:rPr>
        <w:t>impact</w:t>
      </w:r>
      <w:proofErr w:type="gramEnd"/>
      <w:r w:rsidRPr="00A07FF1">
        <w:rPr>
          <w:rFonts w:cstheme="minorHAnsi"/>
          <w:sz w:val="24"/>
          <w:szCs w:val="24"/>
        </w:rPr>
        <w:t xml:space="preserve"> the conclusion drawn from the results. See “</w:t>
      </w:r>
      <w:hyperlink r:id="rId28" w:history="1">
        <w:r w:rsidRPr="00A07FF1">
          <w:rPr>
            <w:rStyle w:val="Hyperlink"/>
            <w:rFonts w:cstheme="minorHAnsi"/>
            <w:sz w:val="24"/>
            <w:szCs w:val="24"/>
          </w:rPr>
          <w:t>U.S. Merchandise Trade Statistics: A Quality Profile</w:t>
        </w:r>
      </w:hyperlink>
      <w:r w:rsidRPr="00A07FF1">
        <w:rPr>
          <w:rStyle w:val="Hyperlink"/>
          <w:rFonts w:cstheme="minorHAnsi"/>
          <w:color w:val="auto"/>
          <w:sz w:val="24"/>
          <w:szCs w:val="24"/>
          <w:u w:val="none"/>
        </w:rPr>
        <w:t>”</w:t>
      </w:r>
      <w:r w:rsidRPr="00A07FF1">
        <w:rPr>
          <w:rFonts w:cstheme="minorHAnsi"/>
          <w:sz w:val="24"/>
          <w:szCs w:val="24"/>
        </w:rPr>
        <w:t xml:space="preserve"> (October 2014) for a detailed discussion of errors affecting the goods data.</w:t>
      </w:r>
    </w:p>
    <w:p w14:paraId="75A972EA" w14:textId="77777777"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Area Groupings</w:t>
      </w:r>
    </w:p>
    <w:p w14:paraId="00AA743F"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North America</w:t>
      </w:r>
      <w:r w:rsidRPr="00A07FF1">
        <w:rPr>
          <w:rFonts w:cstheme="minorHAnsi"/>
          <w:sz w:val="24"/>
          <w:szCs w:val="24"/>
        </w:rPr>
        <w:t>: Canada, Mexico.</w:t>
      </w:r>
    </w:p>
    <w:p w14:paraId="263A4478" w14:textId="77777777" w:rsidR="001705DB" w:rsidRPr="00A07FF1" w:rsidRDefault="001705DB" w:rsidP="001705DB">
      <w:pPr>
        <w:spacing w:after="120"/>
        <w:ind w:left="-360"/>
        <w:rPr>
          <w:rFonts w:cstheme="minorHAnsi"/>
          <w:sz w:val="24"/>
          <w:szCs w:val="24"/>
        </w:rPr>
      </w:pPr>
      <w:r w:rsidRPr="00A07FF1">
        <w:rPr>
          <w:rFonts w:cstheme="minorHAnsi"/>
          <w:b/>
          <w:sz w:val="24"/>
          <w:szCs w:val="24"/>
        </w:rPr>
        <w:t>Dominican Republic-Central America-United States Free Trade Agreement (</w:t>
      </w:r>
      <w:r w:rsidRPr="00A07FF1">
        <w:rPr>
          <w:rFonts w:cstheme="minorHAnsi"/>
          <w:b/>
          <w:bCs/>
          <w:sz w:val="24"/>
          <w:szCs w:val="24"/>
        </w:rPr>
        <w:t>CAFTA-DR)</w:t>
      </w:r>
      <w:r w:rsidRPr="00A07FF1">
        <w:rPr>
          <w:rFonts w:cstheme="minorHAnsi"/>
          <w:sz w:val="24"/>
          <w:szCs w:val="24"/>
        </w:rPr>
        <w:t>:</w:t>
      </w:r>
      <w:r w:rsidRPr="00A07FF1">
        <w:rPr>
          <w:rFonts w:cstheme="minorHAnsi"/>
          <w:b/>
          <w:sz w:val="24"/>
          <w:szCs w:val="24"/>
        </w:rPr>
        <w:t xml:space="preserve"> </w:t>
      </w:r>
      <w:r w:rsidRPr="00A07FF1">
        <w:rPr>
          <w:rFonts w:cstheme="minorHAnsi"/>
          <w:sz w:val="24"/>
          <w:szCs w:val="24"/>
        </w:rPr>
        <w:t xml:space="preserve">Costa Rica, Dominican Republic, El Salvador, Guatemala, Honduras, </w:t>
      </w:r>
      <w:proofErr w:type="gramStart"/>
      <w:r w:rsidRPr="00A07FF1">
        <w:rPr>
          <w:rFonts w:cstheme="minorHAnsi"/>
          <w:sz w:val="24"/>
          <w:szCs w:val="24"/>
        </w:rPr>
        <w:t>Nicaragua</w:t>
      </w:r>
      <w:proofErr w:type="gramEnd"/>
      <w:r w:rsidRPr="00A07FF1">
        <w:rPr>
          <w:rFonts w:cstheme="minorHAnsi"/>
          <w:sz w:val="24"/>
          <w:szCs w:val="24"/>
        </w:rPr>
        <w:t>.</w:t>
      </w:r>
    </w:p>
    <w:p w14:paraId="2461702F" w14:textId="07EFBEB9" w:rsidR="001705DB" w:rsidRPr="00A07FF1" w:rsidRDefault="001705DB" w:rsidP="001705DB">
      <w:pPr>
        <w:spacing w:after="120"/>
        <w:ind w:left="-360"/>
        <w:rPr>
          <w:rFonts w:cstheme="minorHAnsi"/>
          <w:sz w:val="24"/>
          <w:szCs w:val="24"/>
        </w:rPr>
      </w:pPr>
      <w:proofErr w:type="gramStart"/>
      <w:r w:rsidRPr="00A07FF1">
        <w:rPr>
          <w:rFonts w:cstheme="minorHAnsi"/>
          <w:b/>
          <w:bCs/>
          <w:sz w:val="24"/>
          <w:szCs w:val="24"/>
        </w:rPr>
        <w:t>Europe</w:t>
      </w:r>
      <w:r w:rsidRPr="00A07FF1">
        <w:rPr>
          <w:rFonts w:cstheme="minorHAnsi"/>
          <w:sz w:val="24"/>
          <w:szCs w:val="24"/>
        </w:rPr>
        <w:t xml:space="preserve">: Albania, Andorra, Armenia, Austria, Azerbaijan, Belarus, Belgium, Bosnia and Herzegovina, Bulgaria, Croatia, Cyprus, Czech Republic, Denmark, Estonia, Faroe Islands, Finland, France, Georgia, Germany, Gibraltar, Greece, Hungary, Iceland, Ireland, Italy, Kazakhstan, Kosovo, Kyrgyzstan, Latvia, Liechtenstein, Lithuania, Luxembourg, Malta, Moldova, Monaco, Montenegro, Netherlands, </w:t>
      </w:r>
      <w:r w:rsidR="002E76CD">
        <w:rPr>
          <w:rFonts w:cstheme="minorHAnsi"/>
          <w:sz w:val="24"/>
          <w:szCs w:val="24"/>
        </w:rPr>
        <w:t xml:space="preserve">North </w:t>
      </w:r>
      <w:r w:rsidR="002E76CD" w:rsidRPr="00A07FF1">
        <w:rPr>
          <w:rFonts w:cstheme="minorHAnsi"/>
          <w:sz w:val="24"/>
          <w:szCs w:val="24"/>
        </w:rPr>
        <w:t xml:space="preserve">Macedonia, </w:t>
      </w:r>
      <w:r w:rsidRPr="00A07FF1">
        <w:rPr>
          <w:rFonts w:cstheme="minorHAnsi"/>
          <w:sz w:val="24"/>
          <w:szCs w:val="24"/>
        </w:rPr>
        <w:t>Norway, Poland, Portugal, Romania, Russia, San Marino, Serbia, Slovakia, Slovenia, Spain, Svalbard-Jan Mayen Island, Sweden, Switzerland, Tajikistan, Turkey, Turkmenistan, Ukraine, United Kingdom, Uzbekistan, Vatican City.</w:t>
      </w:r>
      <w:proofErr w:type="gramEnd"/>
    </w:p>
    <w:p w14:paraId="49199015"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European Union</w:t>
      </w:r>
      <w:r w:rsidRPr="00A07FF1">
        <w:rPr>
          <w:rFonts w:cstheme="minorHAnsi"/>
          <w:sz w:val="24"/>
          <w:szCs w:val="24"/>
        </w:rPr>
        <w:t>: Austria, Belgium, Bulgaria, Croatia, Cyprus, Czech Republic, Denmark, Estonia, Finland, France, Germany, Greece, Hungary, Ireland, Italy, Latvia, Lithuania, Luxembourg, Malta, Netherlands, Poland, Portugal, Romania, Slovakia, Slovenia, Spain, Sweden, United Kingdom.</w:t>
      </w:r>
    </w:p>
    <w:p w14:paraId="74B93F05" w14:textId="77777777" w:rsidR="001705DB" w:rsidRPr="00A07FF1" w:rsidRDefault="001705DB" w:rsidP="001705DB">
      <w:pPr>
        <w:spacing w:after="120"/>
        <w:ind w:left="-360"/>
        <w:rPr>
          <w:rFonts w:cstheme="minorHAnsi"/>
          <w:b/>
          <w:bCs/>
          <w:sz w:val="24"/>
          <w:szCs w:val="24"/>
        </w:rPr>
      </w:pPr>
      <w:r w:rsidRPr="00A07FF1">
        <w:rPr>
          <w:rFonts w:cstheme="minorHAnsi"/>
          <w:b/>
          <w:bCs/>
          <w:sz w:val="24"/>
          <w:szCs w:val="24"/>
        </w:rPr>
        <w:t>Euro Area</w:t>
      </w:r>
      <w:r w:rsidRPr="00A07FF1">
        <w:rPr>
          <w:rFonts w:cstheme="minorHAnsi"/>
          <w:sz w:val="24"/>
          <w:szCs w:val="24"/>
        </w:rPr>
        <w:t>: Austria, Belgium, Cyprus, Estonia, Finland, France, Germany, Greece, Ireland, Italy, Latvia, Lithuania, Luxembourg, Malta, Netherlands, Portugal, Slovakia, Slovenia, Spain.</w:t>
      </w:r>
    </w:p>
    <w:p w14:paraId="01B38C9F"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Pacific Rim</w:t>
      </w:r>
      <w:r w:rsidRPr="00A07FF1">
        <w:rPr>
          <w:rFonts w:cstheme="minorHAnsi"/>
          <w:sz w:val="24"/>
          <w:szCs w:val="24"/>
        </w:rPr>
        <w:t>: Australia, Brunei, China, Hong Kong, Indonesia, Japan, Korea (South), Macau, Malaysia, New Zealand, Papua New Guinea, Philippines, Singapore, Taiwan.</w:t>
      </w:r>
    </w:p>
    <w:p w14:paraId="60264F28" w14:textId="77777777" w:rsidR="001705DB" w:rsidRPr="00A07FF1" w:rsidRDefault="001705DB" w:rsidP="001705DB">
      <w:pPr>
        <w:spacing w:after="120"/>
        <w:ind w:left="-360"/>
        <w:rPr>
          <w:rFonts w:cstheme="minorHAnsi"/>
          <w:sz w:val="24"/>
          <w:szCs w:val="24"/>
        </w:rPr>
      </w:pPr>
      <w:proofErr w:type="gramStart"/>
      <w:r w:rsidRPr="00A07FF1">
        <w:rPr>
          <w:rFonts w:cstheme="minorHAnsi"/>
          <w:b/>
          <w:bCs/>
          <w:sz w:val="24"/>
          <w:szCs w:val="24"/>
        </w:rPr>
        <w:t>South/Central America</w:t>
      </w:r>
      <w:r w:rsidRPr="00A07FF1">
        <w:rPr>
          <w:rFonts w:cstheme="minorHAnsi"/>
          <w:sz w:val="24"/>
          <w:szCs w:val="24"/>
        </w:rPr>
        <w:t xml:space="preserve">: Anguilla, Antigua and Barbuda, Argentina, Aruba, Bahamas, Barbados, Belize, Bermuda, Bolivia, Brazil, British Virgin Islands, Cayman Islands, Chile, Colombia, Costa Rica, Cuba, Curacao, Dominica, Dominican Republic, Ecuador, El Salvador, Falkland Islands (Islas Malvinas), French Guiana, </w:t>
      </w:r>
      <w:r w:rsidRPr="00A07FF1">
        <w:rPr>
          <w:rFonts w:cstheme="minorHAnsi"/>
          <w:sz w:val="24"/>
          <w:szCs w:val="24"/>
        </w:rPr>
        <w:lastRenderedPageBreak/>
        <w:t xml:space="preserve">Grenada, Guadeloupe, Guatemala, Guyana, Haiti, Honduras, Jamaica, Martinique, Montserrat, Netherlands Antilles, Nicaragua, Panama, Paraguay, Peru, </w:t>
      </w:r>
      <w:proofErr w:type="spellStart"/>
      <w:r w:rsidRPr="00A07FF1">
        <w:rPr>
          <w:rFonts w:cstheme="minorHAnsi"/>
          <w:sz w:val="24"/>
          <w:szCs w:val="24"/>
        </w:rPr>
        <w:t>Sint</w:t>
      </w:r>
      <w:proofErr w:type="spellEnd"/>
      <w:r w:rsidRPr="00A07FF1">
        <w:rPr>
          <w:rFonts w:cstheme="minorHAnsi"/>
          <w:sz w:val="24"/>
          <w:szCs w:val="24"/>
        </w:rPr>
        <w:t xml:space="preserve"> Maarten, St. Kitts and Nevis, St. Lucia, St. Vincent and the Grenadines, Suriname, Trinidad and Tobago, Turks and Caicos Islands, Uruguay, Venezuela.</w:t>
      </w:r>
      <w:proofErr w:type="gramEnd"/>
    </w:p>
    <w:p w14:paraId="38B78F7F" w14:textId="4E622CE5" w:rsidR="001705DB" w:rsidRPr="00A07FF1" w:rsidRDefault="001705DB" w:rsidP="001705DB">
      <w:pPr>
        <w:spacing w:after="120"/>
        <w:ind w:left="-360"/>
        <w:rPr>
          <w:rFonts w:cstheme="minorHAnsi"/>
          <w:sz w:val="24"/>
          <w:szCs w:val="24"/>
        </w:rPr>
      </w:pPr>
      <w:r w:rsidRPr="00A07FF1">
        <w:rPr>
          <w:rFonts w:cstheme="minorHAnsi"/>
          <w:b/>
          <w:bCs/>
          <w:sz w:val="24"/>
          <w:szCs w:val="24"/>
        </w:rPr>
        <w:t>Organization</w:t>
      </w:r>
      <w:r w:rsidRPr="00A07FF1">
        <w:rPr>
          <w:rFonts w:cstheme="minorHAnsi"/>
          <w:b/>
          <w:bCs/>
          <w:sz w:val="24"/>
          <w:szCs w:val="24"/>
          <w:lang w:val="es-MX"/>
        </w:rPr>
        <w:t xml:space="preserve"> of</w:t>
      </w:r>
      <w:r w:rsidRPr="00A07FF1">
        <w:rPr>
          <w:rFonts w:cstheme="minorHAnsi"/>
          <w:b/>
          <w:bCs/>
          <w:sz w:val="24"/>
          <w:szCs w:val="24"/>
        </w:rPr>
        <w:t xml:space="preserve"> Petroleum Exporting Countries</w:t>
      </w:r>
      <w:r w:rsidRPr="00A07FF1">
        <w:rPr>
          <w:rFonts w:cstheme="minorHAnsi"/>
          <w:b/>
          <w:bCs/>
          <w:sz w:val="24"/>
          <w:szCs w:val="24"/>
          <w:lang w:val="es-MX"/>
        </w:rPr>
        <w:t xml:space="preserve"> (OPEC)</w:t>
      </w:r>
      <w:r w:rsidRPr="00A07FF1">
        <w:rPr>
          <w:rFonts w:cstheme="minorHAnsi"/>
          <w:sz w:val="24"/>
          <w:szCs w:val="24"/>
          <w:lang w:val="es-MX"/>
        </w:rPr>
        <w:t>:</w:t>
      </w:r>
      <w:r w:rsidRPr="00A07FF1">
        <w:rPr>
          <w:rFonts w:cstheme="minorHAnsi"/>
          <w:sz w:val="24"/>
          <w:szCs w:val="24"/>
        </w:rPr>
        <w:t xml:space="preserve"> Algeria</w:t>
      </w:r>
      <w:r w:rsidRPr="00A07FF1">
        <w:rPr>
          <w:rFonts w:cstheme="minorHAnsi"/>
          <w:sz w:val="24"/>
          <w:szCs w:val="24"/>
          <w:lang w:val="es-MX"/>
        </w:rPr>
        <w:t>, Angola,</w:t>
      </w:r>
      <w:r w:rsidR="00C71D34" w:rsidRPr="00A07FF1">
        <w:rPr>
          <w:rFonts w:cstheme="minorHAnsi"/>
          <w:sz w:val="24"/>
          <w:szCs w:val="24"/>
          <w:lang w:val="es-MX"/>
        </w:rPr>
        <w:t xml:space="preserve"> Congo (Brazzaville),</w:t>
      </w:r>
      <w:r w:rsidRPr="00A07FF1">
        <w:rPr>
          <w:rFonts w:cstheme="minorHAnsi"/>
          <w:sz w:val="24"/>
          <w:szCs w:val="24"/>
          <w:lang w:val="es-MX"/>
        </w:rPr>
        <w:t xml:space="preserve"> Ecuador,</w:t>
      </w:r>
      <w:r w:rsidRPr="00A07FF1">
        <w:rPr>
          <w:rFonts w:cstheme="minorHAnsi"/>
          <w:sz w:val="24"/>
          <w:szCs w:val="24"/>
        </w:rPr>
        <w:t xml:space="preserve"> Equatorial Guinea, Gabon</w:t>
      </w:r>
      <w:r w:rsidRPr="00A07FF1">
        <w:rPr>
          <w:rFonts w:cstheme="minorHAnsi"/>
          <w:sz w:val="24"/>
          <w:szCs w:val="24"/>
          <w:lang w:val="es-MX"/>
        </w:rPr>
        <w:t xml:space="preserve">, </w:t>
      </w:r>
      <w:r w:rsidRPr="00A07FF1">
        <w:rPr>
          <w:rFonts w:cstheme="minorHAnsi"/>
          <w:sz w:val="24"/>
          <w:szCs w:val="24"/>
        </w:rPr>
        <w:t>Iran</w:t>
      </w:r>
      <w:r w:rsidRPr="00A07FF1">
        <w:rPr>
          <w:rFonts w:cstheme="minorHAnsi"/>
          <w:sz w:val="24"/>
          <w:szCs w:val="24"/>
          <w:lang w:val="es-MX"/>
        </w:rPr>
        <w:t>, Iraq, Kuwait,</w:t>
      </w:r>
      <w:r w:rsidRPr="00A07FF1">
        <w:rPr>
          <w:rFonts w:cstheme="minorHAnsi"/>
          <w:sz w:val="24"/>
          <w:szCs w:val="24"/>
          <w:lang w:val="smj-NO"/>
        </w:rPr>
        <w:t xml:space="preserve"> Libya</w:t>
      </w:r>
      <w:r w:rsidRPr="00A07FF1">
        <w:rPr>
          <w:rFonts w:cstheme="minorHAnsi"/>
          <w:sz w:val="24"/>
          <w:szCs w:val="24"/>
          <w:lang w:val="es-MX"/>
        </w:rPr>
        <w:t xml:space="preserve">, Nigeria, </w:t>
      </w:r>
      <w:r w:rsidRPr="00A07FF1">
        <w:rPr>
          <w:rFonts w:cstheme="minorHAnsi"/>
          <w:sz w:val="24"/>
          <w:szCs w:val="24"/>
        </w:rPr>
        <w:t>Saudi</w:t>
      </w:r>
      <w:r w:rsidRPr="00A07FF1">
        <w:rPr>
          <w:rFonts w:cstheme="minorHAnsi"/>
          <w:sz w:val="24"/>
          <w:szCs w:val="24"/>
          <w:lang w:val="es-MX"/>
        </w:rPr>
        <w:t xml:space="preserve"> Arabia,</w:t>
      </w:r>
      <w:r w:rsidRPr="00A07FF1">
        <w:rPr>
          <w:rFonts w:cstheme="minorHAnsi"/>
          <w:sz w:val="24"/>
          <w:szCs w:val="24"/>
        </w:rPr>
        <w:t xml:space="preserve"> United Arab Emirates</w:t>
      </w:r>
      <w:r w:rsidRPr="00A07FF1">
        <w:rPr>
          <w:rFonts w:cstheme="minorHAnsi"/>
          <w:sz w:val="24"/>
          <w:szCs w:val="24"/>
          <w:lang w:val="es-MX"/>
        </w:rPr>
        <w:t>, Venezuela.</w:t>
      </w:r>
    </w:p>
    <w:p w14:paraId="7508BD12" w14:textId="3E88BF92" w:rsidR="001705DB" w:rsidRPr="00A07FF1" w:rsidRDefault="001705DB" w:rsidP="001705DB">
      <w:pPr>
        <w:spacing w:after="120"/>
        <w:ind w:left="-360"/>
        <w:rPr>
          <w:rFonts w:cstheme="minorHAnsi"/>
          <w:sz w:val="24"/>
          <w:szCs w:val="24"/>
          <w:lang w:val="es-MX"/>
        </w:rPr>
      </w:pPr>
      <w:proofErr w:type="gramStart"/>
      <w:r w:rsidRPr="00A07FF1">
        <w:rPr>
          <w:rFonts w:cstheme="minorHAnsi"/>
          <w:b/>
          <w:bCs/>
          <w:sz w:val="24"/>
          <w:szCs w:val="24"/>
        </w:rPr>
        <w:t>Africa</w:t>
      </w:r>
      <w:r w:rsidRPr="00A07FF1">
        <w:rPr>
          <w:rFonts w:cstheme="minorHAnsi"/>
          <w:sz w:val="24"/>
          <w:szCs w:val="24"/>
          <w:lang w:val="es-MX"/>
        </w:rPr>
        <w:t>:</w:t>
      </w:r>
      <w:r w:rsidRPr="00A07FF1">
        <w:rPr>
          <w:rFonts w:cstheme="minorHAnsi"/>
          <w:sz w:val="24"/>
          <w:szCs w:val="24"/>
        </w:rPr>
        <w:t xml:space="preserve"> Algeria</w:t>
      </w:r>
      <w:r w:rsidRPr="00A07FF1">
        <w:rPr>
          <w:rFonts w:cstheme="minorHAnsi"/>
          <w:sz w:val="24"/>
          <w:szCs w:val="24"/>
          <w:lang w:val="es-MX"/>
        </w:rPr>
        <w:t xml:space="preserve">, Angola, </w:t>
      </w:r>
      <w:r w:rsidRPr="00A07FF1">
        <w:rPr>
          <w:rFonts w:cstheme="minorHAnsi"/>
          <w:sz w:val="24"/>
          <w:szCs w:val="24"/>
        </w:rPr>
        <w:t xml:space="preserve">Benin, Botswana, British Indian Ocean Territories, Burkina Faso, Burundi, Cabo Verde, Cameroon, Central African Republic, Chad, Comoros, Congo (Brazzaville), Congo (Kinshasa), Djibouti, Egypt, Equatorial Guinea, Eritrea, </w:t>
      </w:r>
      <w:proofErr w:type="spellStart"/>
      <w:r w:rsidR="000C49AE" w:rsidRPr="00A07FF1">
        <w:rPr>
          <w:rFonts w:cstheme="minorHAnsi"/>
          <w:sz w:val="24"/>
          <w:szCs w:val="24"/>
        </w:rPr>
        <w:t>Eswatini</w:t>
      </w:r>
      <w:proofErr w:type="spellEnd"/>
      <w:r w:rsidR="000C49AE" w:rsidRPr="00A07FF1">
        <w:rPr>
          <w:rFonts w:cstheme="minorHAnsi"/>
          <w:sz w:val="24"/>
          <w:szCs w:val="24"/>
        </w:rPr>
        <w:t xml:space="preserve">, </w:t>
      </w:r>
      <w:r w:rsidRPr="00A07FF1">
        <w:rPr>
          <w:rFonts w:cstheme="minorHAnsi"/>
          <w:sz w:val="24"/>
          <w:szCs w:val="24"/>
        </w:rPr>
        <w:t>Ethiopia, French Southern and Antarctic Lands, Gabon, Gambia, Ghana, Guinea, Guinea-Bissau, Ivory Coast, Kenya, Lesotho, Liberia, Libya, Madagascar, Malawi, Mali, Mauritania, Mauritius, Mayotte, Morocco, Mozambique, Namibia, Niger, Nigeria, Reunion, Rwanda, St. Helena, Sao Tome and Principe, Senegal, Seychelles, Sierra Leone, Somalia, So</w:t>
      </w:r>
      <w:r w:rsidR="000C49AE" w:rsidRPr="00A07FF1">
        <w:rPr>
          <w:rFonts w:cstheme="minorHAnsi"/>
          <w:sz w:val="24"/>
          <w:szCs w:val="24"/>
        </w:rPr>
        <w:t>uth Africa, South Sudan, Sudan</w:t>
      </w:r>
      <w:r w:rsidRPr="00A07FF1">
        <w:rPr>
          <w:rFonts w:cstheme="minorHAnsi"/>
          <w:sz w:val="24"/>
          <w:szCs w:val="24"/>
        </w:rPr>
        <w:t>, Tanzania, Togo, Tunisia, Uganda, Western Sahara, Zambia, Zimbabwe.</w:t>
      </w:r>
      <w:proofErr w:type="gramEnd"/>
    </w:p>
    <w:p w14:paraId="6B4A55BF" w14:textId="77777777" w:rsidR="001705DB" w:rsidRPr="00A07FF1" w:rsidRDefault="001705DB" w:rsidP="001705DB">
      <w:pPr>
        <w:spacing w:after="0"/>
        <w:ind w:left="-360"/>
        <w:rPr>
          <w:rFonts w:cstheme="minorHAnsi"/>
          <w:b/>
          <w:bCs/>
          <w:i/>
          <w:sz w:val="24"/>
          <w:szCs w:val="24"/>
        </w:rPr>
      </w:pPr>
      <w:r w:rsidRPr="00A07FF1">
        <w:rPr>
          <w:rFonts w:cstheme="minorHAnsi"/>
          <w:b/>
          <w:bCs/>
          <w:i/>
          <w:sz w:val="24"/>
          <w:szCs w:val="24"/>
        </w:rPr>
        <w:t>Adjustments for Seasonal and Trading-Day Variations</w:t>
      </w:r>
    </w:p>
    <w:p w14:paraId="19985710" w14:textId="77777777" w:rsidR="00323FBE" w:rsidRPr="00A07FF1" w:rsidRDefault="001705DB" w:rsidP="001705DB">
      <w:pPr>
        <w:spacing w:after="120"/>
        <w:ind w:left="-360"/>
        <w:rPr>
          <w:rFonts w:cstheme="minorHAnsi"/>
          <w:sz w:val="24"/>
          <w:szCs w:val="24"/>
        </w:rPr>
      </w:pPr>
      <w:r w:rsidRPr="00A07FF1">
        <w:rPr>
          <w:rFonts w:cstheme="minorHAnsi"/>
          <w:sz w:val="24"/>
          <w:szCs w:val="24"/>
        </w:rPr>
        <w:t xml:space="preserve">Goods </w:t>
      </w:r>
      <w:proofErr w:type="gramStart"/>
      <w:r w:rsidRPr="00A07FF1">
        <w:rPr>
          <w:rFonts w:cstheme="minorHAnsi"/>
          <w:sz w:val="24"/>
          <w:szCs w:val="24"/>
        </w:rPr>
        <w:t>are initially classified</w:t>
      </w:r>
      <w:proofErr w:type="gramEnd"/>
      <w:r w:rsidRPr="00A07FF1">
        <w:rPr>
          <w:rFonts w:cstheme="minorHAnsi"/>
          <w:sz w:val="24"/>
          <w:szCs w:val="24"/>
        </w:rPr>
        <w:t xml:space="preserve"> under the Harmonized Commodity Description and Coding System (Harmonized System), which is an internationally accepted standard for the commodity classification of traded goods. The Harmonized System describes and measures the characteristics of the goods and is the basis for the systems used in the United States: Schedule B for exports and Harmonized Tariff Schedule for imports. Combining trade into approximately 140 export and 140 import end-use categories makes it possible to examine goods according to their principal uses (see Exhibits 7 and 8). These categories </w:t>
      </w:r>
      <w:proofErr w:type="gramStart"/>
      <w:r w:rsidRPr="00A07FF1">
        <w:rPr>
          <w:rFonts w:cstheme="minorHAnsi"/>
          <w:sz w:val="24"/>
          <w:szCs w:val="24"/>
        </w:rPr>
        <w:t>are used</w:t>
      </w:r>
      <w:proofErr w:type="gramEnd"/>
      <w:r w:rsidRPr="00A07FF1">
        <w:rPr>
          <w:rFonts w:cstheme="minorHAnsi"/>
          <w:sz w:val="24"/>
          <w:szCs w:val="24"/>
        </w:rPr>
        <w:t xml:space="preserve"> as the basis for computing the seasonal and trading-day adjusted data. These adjusted data </w:t>
      </w:r>
      <w:proofErr w:type="gramStart"/>
      <w:r w:rsidRPr="00A07FF1">
        <w:rPr>
          <w:rFonts w:cstheme="minorHAnsi"/>
          <w:sz w:val="24"/>
          <w:szCs w:val="24"/>
        </w:rPr>
        <w:t>are then summed</w:t>
      </w:r>
      <w:proofErr w:type="gramEnd"/>
      <w:r w:rsidRPr="00A07FF1">
        <w:rPr>
          <w:rFonts w:cstheme="minorHAnsi"/>
          <w:sz w:val="24"/>
          <w:szCs w:val="24"/>
        </w:rPr>
        <w:t xml:space="preserve"> to the six end-use aggregates for publication (see Exhibit 6). </w:t>
      </w:r>
      <w:r w:rsidR="00323FBE" w:rsidRPr="00A07FF1">
        <w:rPr>
          <w:rFonts w:cstheme="minorHAnsi"/>
          <w:sz w:val="24"/>
          <w:szCs w:val="24"/>
        </w:rPr>
        <w:t>The Census Bureau provides these data to BEA for use in the NIPAs and in the U.S international transactions accounts (balance of payments accounts).</w:t>
      </w:r>
    </w:p>
    <w:p w14:paraId="2BB5A3BF" w14:textId="56085B03" w:rsidR="001705DB" w:rsidRPr="00A07FF1" w:rsidRDefault="001705DB" w:rsidP="001705DB">
      <w:pPr>
        <w:spacing w:after="120"/>
        <w:ind w:left="-360"/>
        <w:rPr>
          <w:rFonts w:cstheme="minorHAnsi"/>
          <w:sz w:val="24"/>
          <w:szCs w:val="24"/>
        </w:rPr>
      </w:pPr>
      <w:r w:rsidRPr="00A07FF1">
        <w:rPr>
          <w:rFonts w:cstheme="minorHAnsi"/>
          <w:sz w:val="24"/>
          <w:szCs w:val="24"/>
        </w:rPr>
        <w:t xml:space="preserve">Exhibit 19 shows goods (Census basis) that </w:t>
      </w:r>
      <w:proofErr w:type="gramStart"/>
      <w:r w:rsidRPr="00A07FF1">
        <w:rPr>
          <w:rFonts w:cstheme="minorHAnsi"/>
          <w:sz w:val="24"/>
          <w:szCs w:val="24"/>
        </w:rPr>
        <w:t>are seasonally adjusted</w:t>
      </w:r>
      <w:proofErr w:type="gramEnd"/>
      <w:r w:rsidRPr="00A07FF1">
        <w:rPr>
          <w:rFonts w:cstheme="minorHAnsi"/>
          <w:sz w:val="24"/>
          <w:szCs w:val="24"/>
        </w:rPr>
        <w:t xml:space="preserve"> for selected countries and world areas. Unlike the commodity-based adjustments discussed above, these adjustments are developed and applied directly at the country and world area levels. For total exports and imports, data users should refer to the commodity-based totals shown in the other exhibits. The seasonally adjusted country and world area data will not sum to the seasonally adjusted commodity-based totals because the seasonally adjusted country and world area data and the commodity-based totals </w:t>
      </w:r>
      <w:proofErr w:type="gramStart"/>
      <w:r w:rsidRPr="00A07FF1">
        <w:rPr>
          <w:rFonts w:cstheme="minorHAnsi"/>
          <w:sz w:val="24"/>
          <w:szCs w:val="24"/>
        </w:rPr>
        <w:t>are derived</w:t>
      </w:r>
      <w:proofErr w:type="gramEnd"/>
      <w:r w:rsidRPr="00A07FF1">
        <w:rPr>
          <w:rFonts w:cstheme="minorHAnsi"/>
          <w:sz w:val="24"/>
          <w:szCs w:val="24"/>
        </w:rPr>
        <w:t xml:space="preserve"> from different aggregations of the export </w:t>
      </w:r>
      <w:r w:rsidRPr="00A07FF1">
        <w:rPr>
          <w:rFonts w:cstheme="minorHAnsi"/>
          <w:sz w:val="24"/>
          <w:szCs w:val="24"/>
        </w:rPr>
        <w:lastRenderedPageBreak/>
        <w:t xml:space="preserve">and import data and from different seasonal adjustment models. Data users should use </w:t>
      </w:r>
      <w:proofErr w:type="gramStart"/>
      <w:r w:rsidRPr="00A07FF1">
        <w:rPr>
          <w:rFonts w:cstheme="minorHAnsi"/>
          <w:sz w:val="24"/>
          <w:szCs w:val="24"/>
        </w:rPr>
        <w:t>caution drawing</w:t>
      </w:r>
      <w:proofErr w:type="gramEnd"/>
      <w:r w:rsidRPr="00A07FF1">
        <w:rPr>
          <w:rFonts w:cstheme="minorHAnsi"/>
          <w:sz w:val="24"/>
          <w:szCs w:val="24"/>
        </w:rPr>
        <w:t xml:space="preserve"> comparisons between the two sets of seasonally adjusted series.</w:t>
      </w:r>
    </w:p>
    <w:p w14:paraId="7257AFD9" w14:textId="15CFBE43" w:rsidR="001705DB" w:rsidRPr="00A07FF1" w:rsidRDefault="001705DB" w:rsidP="001705DB">
      <w:pPr>
        <w:spacing w:after="120"/>
        <w:ind w:left="-360"/>
        <w:rPr>
          <w:rFonts w:cstheme="minorHAnsi"/>
          <w:sz w:val="24"/>
          <w:szCs w:val="24"/>
        </w:rPr>
      </w:pPr>
      <w:r w:rsidRPr="00A07FF1">
        <w:rPr>
          <w:rFonts w:cstheme="minorHAnsi"/>
          <w:sz w:val="24"/>
          <w:szCs w:val="24"/>
        </w:rPr>
        <w:t>The sea</w:t>
      </w:r>
      <w:r w:rsidR="00E83CA8" w:rsidRPr="00A07FF1">
        <w:rPr>
          <w:rFonts w:cstheme="minorHAnsi"/>
          <w:sz w:val="24"/>
          <w:szCs w:val="24"/>
        </w:rPr>
        <w:t>sonal adjustment procedure (X-13</w:t>
      </w:r>
      <w:r w:rsidRPr="00A07FF1">
        <w:rPr>
          <w:rFonts w:cstheme="minorHAnsi"/>
          <w:sz w:val="24"/>
          <w:szCs w:val="24"/>
        </w:rPr>
        <w:t xml:space="preserve">ARIMA-SEATS) </w:t>
      </w:r>
      <w:proofErr w:type="gramStart"/>
      <w:r w:rsidRPr="00A07FF1">
        <w:rPr>
          <w:rFonts w:cstheme="minorHAnsi"/>
          <w:sz w:val="24"/>
          <w:szCs w:val="24"/>
        </w:rPr>
        <w:t>is based</w:t>
      </w:r>
      <w:proofErr w:type="gramEnd"/>
      <w:r w:rsidRPr="00A07FF1">
        <w:rPr>
          <w:rFonts w:cstheme="minorHAnsi"/>
          <w:sz w:val="24"/>
          <w:szCs w:val="24"/>
        </w:rPr>
        <w:t xml:space="preserve"> on a model that estimates the monthly movements as percentages above or below the general level of series (unlike other methods that redistribute the actual series values over the calendar year). Because the data series for aircraft is highly variable, users studying data trends may wish to analyze trade in aircraft separately from other trade.</w:t>
      </w:r>
    </w:p>
    <w:p w14:paraId="29021364" w14:textId="77777777" w:rsidR="001705DB" w:rsidRPr="00A07FF1" w:rsidRDefault="001705DB" w:rsidP="001705DB">
      <w:pPr>
        <w:spacing w:after="0"/>
        <w:ind w:left="-360"/>
        <w:rPr>
          <w:rFonts w:cstheme="minorHAnsi"/>
          <w:b/>
          <w:i/>
          <w:iCs/>
          <w:sz w:val="24"/>
          <w:szCs w:val="24"/>
        </w:rPr>
      </w:pPr>
      <w:r w:rsidRPr="00A07FF1">
        <w:rPr>
          <w:rFonts w:cstheme="minorHAnsi"/>
          <w:b/>
          <w:i/>
          <w:iCs/>
          <w:sz w:val="24"/>
          <w:szCs w:val="24"/>
        </w:rPr>
        <w:t>Adjustments for Price Change</w:t>
      </w:r>
    </w:p>
    <w:p w14:paraId="4FAEAB09" w14:textId="745D7566" w:rsidR="001705DB" w:rsidRPr="00A07FF1" w:rsidRDefault="001705DB" w:rsidP="001705DB">
      <w:pPr>
        <w:spacing w:after="120"/>
        <w:ind w:left="-360"/>
        <w:rPr>
          <w:rFonts w:cstheme="minorHAnsi"/>
          <w:sz w:val="24"/>
          <w:szCs w:val="24"/>
        </w:rPr>
      </w:pPr>
      <w:r w:rsidRPr="00A07FF1">
        <w:rPr>
          <w:rFonts w:cstheme="minorHAnsi"/>
          <w:sz w:val="24"/>
          <w:szCs w:val="24"/>
        </w:rPr>
        <w:t>Data adjusted for seasonal variation on a real</w:t>
      </w:r>
      <w:r w:rsidR="00323FBE" w:rsidRPr="00A07FF1">
        <w:rPr>
          <w:rFonts w:cstheme="minorHAnsi"/>
          <w:sz w:val="24"/>
          <w:szCs w:val="24"/>
        </w:rPr>
        <w:t>, or</w:t>
      </w:r>
      <w:r w:rsidRPr="00A07FF1">
        <w:rPr>
          <w:rFonts w:cstheme="minorHAnsi"/>
          <w:sz w:val="24"/>
          <w:szCs w:val="24"/>
        </w:rPr>
        <w:t xml:space="preserve"> chained-dollar</w:t>
      </w:r>
      <w:r w:rsidR="003721BB" w:rsidRPr="00A07FF1">
        <w:rPr>
          <w:rFonts w:cstheme="minorHAnsi"/>
          <w:sz w:val="24"/>
          <w:szCs w:val="24"/>
        </w:rPr>
        <w:t>,</w:t>
      </w:r>
      <w:r w:rsidRPr="00A07FF1">
        <w:rPr>
          <w:rFonts w:cstheme="minorHAnsi"/>
          <w:sz w:val="24"/>
          <w:szCs w:val="24"/>
        </w:rPr>
        <w:t xml:space="preserve"> basis (20</w:t>
      </w:r>
      <w:r w:rsidR="00323FBE" w:rsidRPr="00A07FF1">
        <w:rPr>
          <w:rFonts w:cstheme="minorHAnsi"/>
          <w:sz w:val="24"/>
          <w:szCs w:val="24"/>
        </w:rPr>
        <w:t>12</w:t>
      </w:r>
      <w:r w:rsidRPr="00A07FF1">
        <w:rPr>
          <w:rFonts w:cstheme="minorHAnsi"/>
          <w:sz w:val="24"/>
          <w:szCs w:val="24"/>
        </w:rPr>
        <w:t xml:space="preserve"> </w:t>
      </w:r>
      <w:r w:rsidR="00323FBE" w:rsidRPr="00A07FF1">
        <w:rPr>
          <w:rFonts w:cstheme="minorHAnsi"/>
          <w:sz w:val="24"/>
          <w:szCs w:val="24"/>
        </w:rPr>
        <w:t>reference</w:t>
      </w:r>
      <w:r w:rsidRPr="00A07FF1">
        <w:rPr>
          <w:rFonts w:cstheme="minorHAnsi"/>
          <w:sz w:val="24"/>
          <w:szCs w:val="24"/>
        </w:rPr>
        <w:t xml:space="preserve"> year) </w:t>
      </w:r>
      <w:proofErr w:type="gramStart"/>
      <w:r w:rsidRPr="00A07FF1">
        <w:rPr>
          <w:rFonts w:cstheme="minorHAnsi"/>
          <w:sz w:val="24"/>
          <w:szCs w:val="24"/>
        </w:rPr>
        <w:t>are presented</w:t>
      </w:r>
      <w:proofErr w:type="gramEnd"/>
      <w:r w:rsidRPr="00A07FF1">
        <w:rPr>
          <w:rFonts w:cstheme="minorHAnsi"/>
          <w:sz w:val="24"/>
          <w:szCs w:val="24"/>
        </w:rPr>
        <w:t xml:space="preserve"> in Exhibits 10 and 11. This adjustment for price change </w:t>
      </w:r>
      <w:proofErr w:type="gramStart"/>
      <w:r w:rsidRPr="00A07FF1">
        <w:rPr>
          <w:rFonts w:cstheme="minorHAnsi"/>
          <w:sz w:val="24"/>
          <w:szCs w:val="24"/>
        </w:rPr>
        <w:t>is done</w:t>
      </w:r>
      <w:proofErr w:type="gramEnd"/>
      <w:r w:rsidRPr="00A07FF1">
        <w:rPr>
          <w:rFonts w:cstheme="minorHAnsi"/>
          <w:sz w:val="24"/>
          <w:szCs w:val="24"/>
        </w:rPr>
        <w:t xml:space="preserve"> using the Fisher chain-weighted methodology. The deflators </w:t>
      </w:r>
      <w:proofErr w:type="gramStart"/>
      <w:r w:rsidRPr="00A07FF1">
        <w:rPr>
          <w:rFonts w:cstheme="minorHAnsi"/>
          <w:sz w:val="24"/>
          <w:szCs w:val="24"/>
        </w:rPr>
        <w:t>are primarily based</w:t>
      </w:r>
      <w:proofErr w:type="gramEnd"/>
      <w:r w:rsidRPr="00A07FF1">
        <w:rPr>
          <w:rFonts w:cstheme="minorHAnsi"/>
          <w:sz w:val="24"/>
          <w:szCs w:val="24"/>
        </w:rPr>
        <w:t xml:space="preserve"> on the monthly price indexes published by the BLS using techniques developed for the NIPAs by BEA.</w:t>
      </w:r>
    </w:p>
    <w:p w14:paraId="7AE44B96" w14:textId="77777777"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Principal Commodities</w:t>
      </w:r>
    </w:p>
    <w:p w14:paraId="2334B919" w14:textId="77777777" w:rsidR="001705DB" w:rsidRPr="00A07FF1" w:rsidRDefault="001705DB" w:rsidP="001705DB">
      <w:pPr>
        <w:spacing w:after="120"/>
        <w:ind w:left="-360"/>
        <w:rPr>
          <w:rFonts w:cstheme="minorHAnsi"/>
          <w:sz w:val="24"/>
          <w:szCs w:val="24"/>
        </w:rPr>
      </w:pPr>
      <w:r w:rsidRPr="00A07FF1">
        <w:rPr>
          <w:rFonts w:cstheme="minorHAnsi"/>
          <w:sz w:val="24"/>
          <w:szCs w:val="24"/>
        </w:rPr>
        <w:t xml:space="preserve">Goods data appearing in Exhibit 15 </w:t>
      </w:r>
      <w:proofErr w:type="gramStart"/>
      <w:r w:rsidRPr="00A07FF1">
        <w:rPr>
          <w:rFonts w:cstheme="minorHAnsi"/>
          <w:sz w:val="24"/>
          <w:szCs w:val="24"/>
        </w:rPr>
        <w:t>are classified</w:t>
      </w:r>
      <w:proofErr w:type="gramEnd"/>
      <w:r w:rsidRPr="00A07FF1">
        <w:rPr>
          <w:rFonts w:cstheme="minorHAnsi"/>
          <w:sz w:val="24"/>
          <w:szCs w:val="24"/>
        </w:rPr>
        <w:t xml:space="preserve"> in terms of the SITC Revision 4, with the exception of agricultural and manufactured goods. </w:t>
      </w:r>
      <w:proofErr w:type="gramStart"/>
      <w:r w:rsidRPr="00A07FF1">
        <w:rPr>
          <w:rFonts w:cstheme="minorHAnsi"/>
          <w:sz w:val="24"/>
          <w:szCs w:val="24"/>
        </w:rPr>
        <w:t>Agricultural goods are defined by the U.S. Department of Agriculture (USDA)</w:t>
      </w:r>
      <w:proofErr w:type="gramEnd"/>
      <w:r w:rsidRPr="00A07FF1">
        <w:rPr>
          <w:rFonts w:cstheme="minorHAnsi"/>
          <w:sz w:val="24"/>
          <w:szCs w:val="24"/>
        </w:rPr>
        <w:t xml:space="preserve">; they consist of non-marine food products and other products of agriculture that have not passed through complex processes of manufacture. Manufactured goods conform to the NAICS; they consist of goods that </w:t>
      </w:r>
      <w:proofErr w:type="gramStart"/>
      <w:r w:rsidRPr="00A07FF1">
        <w:rPr>
          <w:rFonts w:cstheme="minorHAnsi"/>
          <w:sz w:val="24"/>
          <w:szCs w:val="24"/>
        </w:rPr>
        <w:t>have been mechanically, physically, or chemically transformed</w:t>
      </w:r>
      <w:proofErr w:type="gramEnd"/>
      <w:r w:rsidRPr="00A07FF1">
        <w:rPr>
          <w:rFonts w:cstheme="minorHAnsi"/>
          <w:sz w:val="24"/>
          <w:szCs w:val="24"/>
        </w:rPr>
        <w:t>. USDA agricultural goods and NAICS manufactured goods are not mutually exclusive categories.</w:t>
      </w:r>
    </w:p>
    <w:p w14:paraId="38ADB472" w14:textId="7AEF327D" w:rsidR="001705DB" w:rsidRPr="00A07FF1" w:rsidRDefault="001705DB" w:rsidP="001705DB">
      <w:pPr>
        <w:spacing w:after="120"/>
        <w:ind w:left="-360"/>
        <w:rPr>
          <w:rFonts w:cstheme="minorHAnsi"/>
          <w:sz w:val="24"/>
          <w:szCs w:val="24"/>
        </w:rPr>
      </w:pPr>
      <w:r w:rsidRPr="00A07FF1">
        <w:rPr>
          <w:rFonts w:cstheme="minorHAnsi"/>
          <w:sz w:val="24"/>
          <w:szCs w:val="24"/>
        </w:rPr>
        <w:t xml:space="preserve">Re-exports are foreign merchandise entering the country as imports and then exported in substantially the same condition as when imported. Re-exports, </w:t>
      </w:r>
      <w:r w:rsidR="00323FBE" w:rsidRPr="00A07FF1">
        <w:rPr>
          <w:rFonts w:cstheme="minorHAnsi"/>
          <w:sz w:val="24"/>
          <w:szCs w:val="24"/>
        </w:rPr>
        <w:t xml:space="preserve">which are </w:t>
      </w:r>
      <w:r w:rsidRPr="00A07FF1">
        <w:rPr>
          <w:rFonts w:cstheme="minorHAnsi"/>
          <w:sz w:val="24"/>
          <w:szCs w:val="24"/>
        </w:rPr>
        <w:t>included in overall export totals, appear as separate line items in Exhibit 15.</w:t>
      </w:r>
    </w:p>
    <w:p w14:paraId="7AF05460" w14:textId="77777777"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Advanced Technology Products</w:t>
      </w:r>
    </w:p>
    <w:p w14:paraId="70E1D458" w14:textId="77777777" w:rsidR="001705DB" w:rsidRPr="00A07FF1" w:rsidRDefault="001705DB" w:rsidP="001705DB">
      <w:pPr>
        <w:spacing w:after="120"/>
        <w:ind w:left="-360"/>
        <w:rPr>
          <w:rFonts w:cstheme="minorHAnsi"/>
          <w:sz w:val="24"/>
          <w:szCs w:val="24"/>
        </w:rPr>
      </w:pPr>
      <w:r w:rsidRPr="00A07FF1">
        <w:rPr>
          <w:rFonts w:cstheme="minorHAnsi"/>
          <w:sz w:val="24"/>
          <w:szCs w:val="24"/>
        </w:rPr>
        <w:t xml:space="preserve">About 500 of some 22,000 Schedule B and Harmonized Tariff Schedule classification codes used in reporting U.S. merchandise trade </w:t>
      </w:r>
      <w:proofErr w:type="gramStart"/>
      <w:r w:rsidRPr="00A07FF1">
        <w:rPr>
          <w:rFonts w:cstheme="minorHAnsi"/>
          <w:sz w:val="24"/>
          <w:szCs w:val="24"/>
        </w:rPr>
        <w:t>are identified</w:t>
      </w:r>
      <w:proofErr w:type="gramEnd"/>
      <w:r w:rsidRPr="00A07FF1">
        <w:rPr>
          <w:rFonts w:cstheme="minorHAnsi"/>
          <w:sz w:val="24"/>
          <w:szCs w:val="24"/>
        </w:rPr>
        <w:t xml:space="preserve"> as "advanced technology" codes, and they meet the following criteria:</w:t>
      </w:r>
    </w:p>
    <w:p w14:paraId="229C1C59" w14:textId="77777777" w:rsidR="001705DB" w:rsidRPr="00A07FF1" w:rsidRDefault="001705DB" w:rsidP="001705DB">
      <w:pPr>
        <w:numPr>
          <w:ilvl w:val="0"/>
          <w:numId w:val="15"/>
        </w:numPr>
        <w:spacing w:after="120"/>
        <w:rPr>
          <w:rFonts w:cstheme="minorHAnsi"/>
          <w:sz w:val="24"/>
          <w:szCs w:val="24"/>
        </w:rPr>
      </w:pPr>
      <w:r w:rsidRPr="00A07FF1">
        <w:rPr>
          <w:rFonts w:cstheme="minorHAnsi"/>
          <w:sz w:val="24"/>
          <w:szCs w:val="24"/>
        </w:rPr>
        <w:t>The code contains products whose technology is from a recognized high technology field (e.g., biotechnology).</w:t>
      </w:r>
    </w:p>
    <w:p w14:paraId="59F836DB" w14:textId="77777777" w:rsidR="001705DB" w:rsidRPr="00A07FF1" w:rsidRDefault="001705DB" w:rsidP="001705DB">
      <w:pPr>
        <w:numPr>
          <w:ilvl w:val="0"/>
          <w:numId w:val="15"/>
        </w:numPr>
        <w:spacing w:after="120"/>
        <w:rPr>
          <w:rFonts w:cstheme="minorHAnsi"/>
          <w:sz w:val="24"/>
          <w:szCs w:val="24"/>
        </w:rPr>
      </w:pPr>
      <w:r w:rsidRPr="00A07FF1">
        <w:rPr>
          <w:rFonts w:cstheme="minorHAnsi"/>
          <w:sz w:val="24"/>
          <w:szCs w:val="24"/>
        </w:rPr>
        <w:t>These products represent leading edge technology in that field.</w:t>
      </w:r>
    </w:p>
    <w:p w14:paraId="225D5610" w14:textId="77777777" w:rsidR="001705DB" w:rsidRPr="00A07FF1" w:rsidRDefault="001705DB" w:rsidP="001705DB">
      <w:pPr>
        <w:numPr>
          <w:ilvl w:val="0"/>
          <w:numId w:val="15"/>
        </w:numPr>
        <w:spacing w:after="120"/>
        <w:rPr>
          <w:rFonts w:cstheme="minorHAnsi"/>
          <w:sz w:val="24"/>
          <w:szCs w:val="24"/>
        </w:rPr>
      </w:pPr>
      <w:r w:rsidRPr="00A07FF1">
        <w:rPr>
          <w:rFonts w:cstheme="minorHAnsi"/>
          <w:sz w:val="24"/>
          <w:szCs w:val="24"/>
        </w:rPr>
        <w:t>Such products constitute a significant part of all items covered in the selected classification code.</w:t>
      </w:r>
    </w:p>
    <w:p w14:paraId="71BB69DE" w14:textId="77777777" w:rsidR="001705DB" w:rsidRPr="00A07FF1" w:rsidRDefault="001705DB" w:rsidP="001705DB">
      <w:pPr>
        <w:spacing w:after="120"/>
        <w:ind w:left="-360"/>
        <w:rPr>
          <w:rFonts w:cstheme="minorHAnsi"/>
          <w:sz w:val="24"/>
          <w:szCs w:val="24"/>
        </w:rPr>
      </w:pPr>
      <w:r w:rsidRPr="00A07FF1">
        <w:rPr>
          <w:rFonts w:cstheme="minorHAnsi"/>
          <w:sz w:val="24"/>
          <w:szCs w:val="24"/>
        </w:rPr>
        <w:lastRenderedPageBreak/>
        <w:t>The aggregation of the goods results in a measure of advanced technology trade that appears in Exhibits 16 and 16a. This product- and commodity-based measure of advanced technology differs from broader NAICS-based measures, which include all goods produced by a particular industry group, regardless of the level of technology embodied in the goods.</w:t>
      </w:r>
    </w:p>
    <w:p w14:paraId="52010D24" w14:textId="0189C016" w:rsidR="005126C3" w:rsidRPr="00A07FF1" w:rsidRDefault="005126C3" w:rsidP="001705DB">
      <w:pPr>
        <w:spacing w:after="0"/>
        <w:ind w:left="-360"/>
        <w:rPr>
          <w:rFonts w:cstheme="minorHAnsi"/>
          <w:b/>
          <w:sz w:val="24"/>
          <w:szCs w:val="24"/>
        </w:rPr>
      </w:pPr>
      <w:r w:rsidRPr="00A07FF1">
        <w:rPr>
          <w:rFonts w:cstheme="minorHAnsi"/>
          <w:b/>
          <w:sz w:val="24"/>
          <w:szCs w:val="24"/>
        </w:rPr>
        <w:t xml:space="preserve">Goods </w:t>
      </w:r>
      <w:r w:rsidR="00C5235C" w:rsidRPr="00A07FF1">
        <w:rPr>
          <w:rFonts w:cstheme="minorHAnsi"/>
          <w:b/>
          <w:sz w:val="24"/>
          <w:szCs w:val="24"/>
        </w:rPr>
        <w:t>T</w:t>
      </w:r>
      <w:r w:rsidRPr="00A07FF1">
        <w:rPr>
          <w:rFonts w:cstheme="minorHAnsi"/>
          <w:b/>
          <w:sz w:val="24"/>
          <w:szCs w:val="24"/>
        </w:rPr>
        <w:t>rade in the Advance Economic Indicators Report</w:t>
      </w:r>
    </w:p>
    <w:p w14:paraId="796E8262" w14:textId="5ABA6A12" w:rsidR="000B1D03" w:rsidRPr="000B1D03" w:rsidRDefault="000B1D03" w:rsidP="000B1D03">
      <w:pPr>
        <w:spacing w:after="0"/>
        <w:ind w:left="-360"/>
        <w:rPr>
          <w:rFonts w:cstheme="minorHAnsi"/>
          <w:sz w:val="24"/>
          <w:szCs w:val="24"/>
        </w:rPr>
      </w:pPr>
      <w:r w:rsidRPr="000B1D03">
        <w:rPr>
          <w:rFonts w:cstheme="minorHAnsi"/>
          <w:sz w:val="24"/>
          <w:szCs w:val="24"/>
        </w:rPr>
        <w:t xml:space="preserve">In addition to the U.S. International Trade in Goods and Services report (FT-900), which </w:t>
      </w:r>
      <w:proofErr w:type="gramStart"/>
      <w:r w:rsidRPr="000B1D03">
        <w:rPr>
          <w:rFonts w:cstheme="minorHAnsi"/>
          <w:sz w:val="24"/>
          <w:szCs w:val="24"/>
        </w:rPr>
        <w:t>is released</w:t>
      </w:r>
      <w:proofErr w:type="gramEnd"/>
      <w:r w:rsidRPr="000B1D03">
        <w:rPr>
          <w:rFonts w:cstheme="minorHAnsi"/>
          <w:sz w:val="24"/>
          <w:szCs w:val="24"/>
        </w:rPr>
        <w:t xml:space="preserve"> jointly with BEA, the Census Bureau also releases advance statistics on international trade in goods, along with advance estimates on retail and wholesale inventories, in the Advance Economic Indicators Report (</w:t>
      </w:r>
      <w:hyperlink r:id="rId29" w:history="1">
        <w:r w:rsidRPr="000B1D03">
          <w:rPr>
            <w:rStyle w:val="Hyperlink"/>
            <w:rFonts w:cstheme="minorHAnsi"/>
            <w:sz w:val="24"/>
            <w:szCs w:val="24"/>
          </w:rPr>
          <w:t>Advance Report</w:t>
        </w:r>
      </w:hyperlink>
      <w:r w:rsidRPr="000B1D03">
        <w:rPr>
          <w:rFonts w:cstheme="minorHAnsi"/>
          <w:sz w:val="24"/>
          <w:szCs w:val="24"/>
        </w:rPr>
        <w:t>). Trade statistics in the Advance Report, released on average 24 to 26 calendar days after the end of the reference month, reflect nearly complete coverage of goods trade, while statistics in the FT-900, released on average 34 to 36 calendar days after the end of the reference month, reflect complete coverage.</w:t>
      </w:r>
    </w:p>
    <w:p w14:paraId="1F8CD5BA" w14:textId="6C8CDB9C" w:rsidR="000B1D03" w:rsidRPr="000B1D03" w:rsidRDefault="000B1D03" w:rsidP="000B1D03">
      <w:pPr>
        <w:spacing w:after="0"/>
        <w:ind w:left="-360"/>
        <w:rPr>
          <w:rFonts w:cstheme="minorHAnsi"/>
          <w:sz w:val="24"/>
          <w:szCs w:val="24"/>
        </w:rPr>
      </w:pPr>
      <w:r w:rsidRPr="000B1D03">
        <w:rPr>
          <w:rFonts w:cstheme="minorHAnsi"/>
          <w:sz w:val="24"/>
          <w:szCs w:val="24"/>
        </w:rPr>
        <w:t xml:space="preserve">The Advance Report contains advance statistics for goods trade on a Census basis by principal end-use category, thus providing users an earlier high-level snapshot of U.S. international trade for the featured month. Commodity and country details and statistics for goods trade on a balance of payments (BOP) basis and for services trade </w:t>
      </w:r>
      <w:proofErr w:type="gramStart"/>
      <w:r w:rsidRPr="000B1D03">
        <w:rPr>
          <w:rFonts w:cstheme="minorHAnsi"/>
          <w:sz w:val="24"/>
          <w:szCs w:val="24"/>
        </w:rPr>
        <w:t>are released</w:t>
      </w:r>
      <w:proofErr w:type="gramEnd"/>
      <w:r w:rsidRPr="000B1D03">
        <w:rPr>
          <w:rFonts w:cstheme="minorHAnsi"/>
          <w:sz w:val="24"/>
          <w:szCs w:val="24"/>
        </w:rPr>
        <w:t xml:space="preserve"> several days later in the FT-900. See the </w:t>
      </w:r>
      <w:hyperlink r:id="rId30" w:history="1">
        <w:r w:rsidRPr="00672A9F">
          <w:rPr>
            <w:rStyle w:val="Hyperlink"/>
            <w:rFonts w:cstheme="minorHAnsi"/>
            <w:sz w:val="24"/>
            <w:szCs w:val="24"/>
          </w:rPr>
          <w:t>Advance Report Frequently Asked Questions</w:t>
        </w:r>
      </w:hyperlink>
      <w:r w:rsidRPr="000B1D03">
        <w:rPr>
          <w:rFonts w:cstheme="minorHAnsi"/>
          <w:sz w:val="24"/>
          <w:szCs w:val="24"/>
        </w:rPr>
        <w:t xml:space="preserve"> for more information.</w:t>
      </w:r>
    </w:p>
    <w:p w14:paraId="5EA750F0" w14:textId="58606891" w:rsidR="000B1D03" w:rsidRDefault="000B1D03" w:rsidP="000B1D03">
      <w:pPr>
        <w:spacing w:after="120"/>
        <w:ind w:left="-360"/>
        <w:rPr>
          <w:rFonts w:cstheme="minorHAnsi"/>
          <w:sz w:val="24"/>
          <w:szCs w:val="24"/>
        </w:rPr>
      </w:pPr>
      <w:r w:rsidRPr="000B1D03">
        <w:rPr>
          <w:rFonts w:cstheme="minorHAnsi"/>
          <w:sz w:val="24"/>
          <w:szCs w:val="24"/>
        </w:rPr>
        <w:t xml:space="preserve">The FT-900 is the primary source for the goods trade data used in BEA’s quarterly gross domestic product (GDP) statistics. However, for the advance GDP estimate, FT-900 data for the third month are not yet available, so BEA uses data from the Advance Report. Because only goods trade on a Census basis by principal end-use category is available in the Advance Report, BEA applies adjustments, such as BOP and coverage adjustments, to the Advance Report statistics to produce detailed estimates for incorporation into the advance GDP estimate. See the “Key Source Data and Assumptions” table that accompanies each </w:t>
      </w:r>
      <w:hyperlink r:id="rId31" w:history="1">
        <w:r w:rsidRPr="00672A9F">
          <w:rPr>
            <w:rStyle w:val="Hyperlink"/>
            <w:rFonts w:cstheme="minorHAnsi"/>
            <w:sz w:val="24"/>
            <w:szCs w:val="24"/>
          </w:rPr>
          <w:t>GDP release</w:t>
        </w:r>
      </w:hyperlink>
      <w:r w:rsidRPr="000B1D03">
        <w:rPr>
          <w:rFonts w:cstheme="minorHAnsi"/>
          <w:sz w:val="24"/>
          <w:szCs w:val="24"/>
        </w:rPr>
        <w:t xml:space="preserve"> for more information.</w:t>
      </w:r>
    </w:p>
    <w:p w14:paraId="3DD9637B" w14:textId="1821AAEF" w:rsidR="001705DB" w:rsidRPr="00A07FF1" w:rsidRDefault="001705DB" w:rsidP="000B1D03">
      <w:pPr>
        <w:spacing w:after="0"/>
        <w:ind w:left="-360"/>
        <w:rPr>
          <w:rFonts w:cstheme="minorHAnsi"/>
          <w:b/>
          <w:sz w:val="24"/>
          <w:szCs w:val="24"/>
        </w:rPr>
      </w:pPr>
      <w:r w:rsidRPr="00A07FF1">
        <w:rPr>
          <w:rFonts w:cstheme="minorHAnsi"/>
          <w:b/>
          <w:sz w:val="24"/>
          <w:szCs w:val="24"/>
        </w:rPr>
        <w:t>Goods (</w:t>
      </w:r>
      <w:r w:rsidR="00A74F32" w:rsidRPr="00A07FF1">
        <w:rPr>
          <w:rFonts w:cstheme="minorHAnsi"/>
          <w:b/>
          <w:sz w:val="24"/>
          <w:szCs w:val="24"/>
        </w:rPr>
        <w:t>BOP</w:t>
      </w:r>
      <w:r w:rsidRPr="00A07FF1">
        <w:rPr>
          <w:rFonts w:cstheme="minorHAnsi"/>
          <w:b/>
          <w:sz w:val="24"/>
          <w:szCs w:val="24"/>
        </w:rPr>
        <w:t xml:space="preserve"> Basis) and Services</w:t>
      </w:r>
    </w:p>
    <w:p w14:paraId="57CA4D02" w14:textId="54830A5B" w:rsidR="001705DB" w:rsidRPr="00A07FF1" w:rsidRDefault="001705DB" w:rsidP="001705DB">
      <w:pPr>
        <w:spacing w:after="120"/>
        <w:ind w:left="-360"/>
        <w:rPr>
          <w:rFonts w:cstheme="minorHAnsi"/>
          <w:sz w:val="24"/>
          <w:szCs w:val="24"/>
        </w:rPr>
      </w:pPr>
      <w:r w:rsidRPr="00A07FF1">
        <w:rPr>
          <w:rFonts w:cstheme="minorHAnsi"/>
          <w:sz w:val="24"/>
          <w:szCs w:val="24"/>
        </w:rPr>
        <w:t xml:space="preserve">Quarterly and annual statistics for goods on a BOP basis and for services are included in the U.S. international transactions accounts (ITAs), which are published by BEA in news releases in March, June, September, and December and in the </w:t>
      </w:r>
      <w:hyperlink r:id="rId32" w:history="1">
        <w:r w:rsidRPr="00A07FF1">
          <w:rPr>
            <w:rStyle w:val="Hyperlink"/>
            <w:rFonts w:cstheme="minorHAnsi"/>
            <w:i/>
            <w:sz w:val="24"/>
            <w:szCs w:val="24"/>
          </w:rPr>
          <w:t>Survey of Current Business</w:t>
        </w:r>
      </w:hyperlink>
      <w:r w:rsidRPr="00A07FF1">
        <w:rPr>
          <w:rFonts w:cstheme="minorHAnsi"/>
          <w:sz w:val="24"/>
          <w:szCs w:val="24"/>
        </w:rPr>
        <w:t xml:space="preserve"> in the January, April, July, and October issues. The next release of the ITAs </w:t>
      </w:r>
      <w:proofErr w:type="gramStart"/>
      <w:r w:rsidRPr="00A07FF1">
        <w:rPr>
          <w:rFonts w:cstheme="minorHAnsi"/>
          <w:sz w:val="24"/>
          <w:szCs w:val="24"/>
        </w:rPr>
        <w:t>is scheduled</w:t>
      </w:r>
      <w:proofErr w:type="gramEnd"/>
      <w:r w:rsidRPr="00A07FF1">
        <w:rPr>
          <w:rFonts w:cstheme="minorHAnsi"/>
          <w:sz w:val="24"/>
          <w:szCs w:val="24"/>
        </w:rPr>
        <w:t xml:space="preserve"> for </w:t>
      </w:r>
      <w:r w:rsidR="0083794A">
        <w:rPr>
          <w:rFonts w:cstheme="minorHAnsi"/>
          <w:sz w:val="24"/>
          <w:szCs w:val="24"/>
        </w:rPr>
        <w:t>March</w:t>
      </w:r>
      <w:r w:rsidR="00E6012A">
        <w:rPr>
          <w:rFonts w:cstheme="minorHAnsi"/>
          <w:sz w:val="24"/>
          <w:szCs w:val="24"/>
        </w:rPr>
        <w:t xml:space="preserve"> 19</w:t>
      </w:r>
      <w:r w:rsidR="00E833B1">
        <w:rPr>
          <w:rFonts w:cstheme="minorHAnsi"/>
          <w:sz w:val="24"/>
          <w:szCs w:val="24"/>
        </w:rPr>
        <w:t>, 20</w:t>
      </w:r>
      <w:r w:rsidR="006302C5">
        <w:rPr>
          <w:rFonts w:cstheme="minorHAnsi"/>
          <w:sz w:val="24"/>
          <w:szCs w:val="24"/>
        </w:rPr>
        <w:t>20</w:t>
      </w:r>
      <w:r w:rsidRPr="00A07FF1">
        <w:rPr>
          <w:rFonts w:cstheme="minorHAnsi"/>
          <w:sz w:val="24"/>
          <w:szCs w:val="24"/>
        </w:rPr>
        <w:t>.</w:t>
      </w:r>
    </w:p>
    <w:p w14:paraId="06F93214" w14:textId="457B0452" w:rsidR="001705DB" w:rsidRPr="00A07FF1" w:rsidRDefault="001705DB" w:rsidP="001705DB">
      <w:pPr>
        <w:spacing w:after="120"/>
        <w:ind w:left="-360"/>
        <w:rPr>
          <w:rFonts w:cstheme="minorHAnsi"/>
          <w:sz w:val="24"/>
          <w:szCs w:val="24"/>
        </w:rPr>
      </w:pPr>
      <w:r w:rsidRPr="00A07FF1">
        <w:rPr>
          <w:rFonts w:cstheme="minorHAnsi"/>
          <w:sz w:val="24"/>
          <w:szCs w:val="24"/>
        </w:rPr>
        <w:t xml:space="preserve">In addition, BEA releases detailed annual </w:t>
      </w:r>
      <w:hyperlink r:id="rId33" w:history="1">
        <w:r w:rsidRPr="00A07FF1">
          <w:rPr>
            <w:rStyle w:val="Hyperlink"/>
            <w:rFonts w:cstheme="minorHAnsi"/>
            <w:sz w:val="24"/>
            <w:szCs w:val="24"/>
          </w:rPr>
          <w:t>international services</w:t>
        </w:r>
      </w:hyperlink>
      <w:r w:rsidRPr="00A07FF1">
        <w:rPr>
          <w:rFonts w:cstheme="minorHAnsi"/>
          <w:sz w:val="24"/>
          <w:szCs w:val="24"/>
        </w:rPr>
        <w:t xml:space="preserve"> statistics, which consist of statistics on trade in services and on services supplied through affiliates of multinational enterprises. The statistics </w:t>
      </w:r>
      <w:r w:rsidRPr="00A07FF1">
        <w:rPr>
          <w:rFonts w:cstheme="minorHAnsi"/>
          <w:sz w:val="24"/>
          <w:szCs w:val="24"/>
        </w:rPr>
        <w:lastRenderedPageBreak/>
        <w:t xml:space="preserve">provide detail on U.S. trade in services </w:t>
      </w:r>
      <w:proofErr w:type="gramStart"/>
      <w:r w:rsidRPr="00A07FF1">
        <w:rPr>
          <w:rFonts w:cstheme="minorHAnsi"/>
          <w:sz w:val="24"/>
          <w:szCs w:val="24"/>
        </w:rPr>
        <w:t>by type and by country and area</w:t>
      </w:r>
      <w:proofErr w:type="gramEnd"/>
      <w:r w:rsidRPr="00A07FF1">
        <w:rPr>
          <w:rFonts w:cstheme="minorHAnsi"/>
          <w:sz w:val="24"/>
          <w:szCs w:val="24"/>
        </w:rPr>
        <w:t xml:space="preserve"> and detail on services supplied through affiliates by industry and by country and area.</w:t>
      </w:r>
    </w:p>
    <w:p w14:paraId="2102CF68" w14:textId="0C2F828D"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Goods (</w:t>
      </w:r>
      <w:r w:rsidR="00A74F32" w:rsidRPr="00A07FF1">
        <w:rPr>
          <w:rFonts w:cstheme="minorHAnsi"/>
          <w:b/>
          <w:bCs/>
          <w:i/>
          <w:iCs/>
          <w:sz w:val="24"/>
          <w:szCs w:val="24"/>
        </w:rPr>
        <w:t>BOP</w:t>
      </w:r>
      <w:r w:rsidRPr="00A07FF1">
        <w:rPr>
          <w:rFonts w:cstheme="minorHAnsi"/>
          <w:b/>
          <w:bCs/>
          <w:i/>
          <w:iCs/>
          <w:sz w:val="24"/>
          <w:szCs w:val="24"/>
        </w:rPr>
        <w:t xml:space="preserve"> Basis)</w:t>
      </w:r>
    </w:p>
    <w:p w14:paraId="03DB8DB8" w14:textId="5A13B25D" w:rsidR="001705DB" w:rsidRPr="00A07FF1" w:rsidRDefault="001705DB" w:rsidP="001705DB">
      <w:pPr>
        <w:spacing w:after="120"/>
        <w:ind w:left="-360"/>
        <w:rPr>
          <w:rFonts w:cstheme="minorHAnsi"/>
          <w:sz w:val="24"/>
          <w:szCs w:val="24"/>
        </w:rPr>
      </w:pPr>
      <w:proofErr w:type="gramStart"/>
      <w:r w:rsidRPr="00A07FF1">
        <w:rPr>
          <w:rFonts w:cstheme="minorHAnsi"/>
          <w:sz w:val="24"/>
          <w:szCs w:val="24"/>
        </w:rPr>
        <w:t>Goods on a Census basis are adjusted by BEA</w:t>
      </w:r>
      <w:proofErr w:type="gramEnd"/>
      <w:r w:rsidRPr="00A07FF1">
        <w:rPr>
          <w:rFonts w:cstheme="minorHAnsi"/>
          <w:sz w:val="24"/>
          <w:szCs w:val="24"/>
        </w:rPr>
        <w:t xml:space="preserve"> to a BOP basis to align the data with the concepts and definitions used to prepare the international and national economic accounts. These adjustments, which </w:t>
      </w:r>
      <w:proofErr w:type="gramStart"/>
      <w:r w:rsidRPr="00A07FF1">
        <w:rPr>
          <w:rFonts w:cstheme="minorHAnsi"/>
          <w:sz w:val="24"/>
          <w:szCs w:val="24"/>
        </w:rPr>
        <w:t>are applied</w:t>
      </w:r>
      <w:proofErr w:type="gramEnd"/>
      <w:r w:rsidRPr="00A07FF1">
        <w:rPr>
          <w:rFonts w:cstheme="minorHAnsi"/>
          <w:sz w:val="24"/>
          <w:szCs w:val="24"/>
        </w:rPr>
        <w:t xml:space="preserve"> separately to exports and imports, are necessary to supplement coverage of the Census data, to eliminate duplication of transactions recorded elsewhere in the international accounts, and to value transactions at market prices. They include both </w:t>
      </w:r>
      <w:r w:rsidRPr="00A07FF1">
        <w:rPr>
          <w:rFonts w:cstheme="minorHAnsi"/>
          <w:i/>
          <w:sz w:val="24"/>
          <w:szCs w:val="24"/>
        </w:rPr>
        <w:t>additions</w:t>
      </w:r>
      <w:r w:rsidRPr="00A07FF1">
        <w:rPr>
          <w:rFonts w:cstheme="minorHAnsi"/>
          <w:sz w:val="24"/>
          <w:szCs w:val="24"/>
        </w:rPr>
        <w:t xml:space="preserve"> to and </w:t>
      </w:r>
      <w:r w:rsidRPr="00A07FF1">
        <w:rPr>
          <w:rFonts w:cstheme="minorHAnsi"/>
          <w:i/>
          <w:sz w:val="24"/>
          <w:szCs w:val="24"/>
        </w:rPr>
        <w:t>deductions</w:t>
      </w:r>
      <w:r w:rsidRPr="00A07FF1">
        <w:rPr>
          <w:rFonts w:cstheme="minorHAnsi"/>
          <w:sz w:val="24"/>
          <w:szCs w:val="24"/>
        </w:rPr>
        <w:t xml:space="preserve"> from goods on a Census basis and </w:t>
      </w:r>
      <w:proofErr w:type="gramStart"/>
      <w:r w:rsidRPr="00A07FF1">
        <w:rPr>
          <w:rFonts w:cstheme="minorHAnsi"/>
          <w:sz w:val="24"/>
          <w:szCs w:val="24"/>
        </w:rPr>
        <w:t>are presented</w:t>
      </w:r>
      <w:proofErr w:type="gramEnd"/>
      <w:r w:rsidRPr="00A07FF1">
        <w:rPr>
          <w:rFonts w:cstheme="minorHAnsi"/>
          <w:sz w:val="24"/>
          <w:szCs w:val="24"/>
        </w:rPr>
        <w:t xml:space="preserve"> in this release as </w:t>
      </w:r>
      <w:r w:rsidRPr="00A07FF1">
        <w:rPr>
          <w:rFonts w:cstheme="minorHAnsi"/>
          <w:i/>
          <w:sz w:val="24"/>
          <w:szCs w:val="24"/>
        </w:rPr>
        <w:t>net adjustments</w:t>
      </w:r>
      <w:r w:rsidRPr="00A07FF1">
        <w:rPr>
          <w:rFonts w:cstheme="minorHAnsi"/>
          <w:sz w:val="24"/>
          <w:szCs w:val="24"/>
        </w:rPr>
        <w:t xml:space="preserve">. Adjustments that exhibit significant seasonal patterns </w:t>
      </w:r>
      <w:proofErr w:type="gramStart"/>
      <w:r w:rsidRPr="00A07FF1">
        <w:rPr>
          <w:rFonts w:cstheme="minorHAnsi"/>
          <w:sz w:val="24"/>
          <w:szCs w:val="24"/>
        </w:rPr>
        <w:t>are seasonally adjusted</w:t>
      </w:r>
      <w:proofErr w:type="gramEnd"/>
      <w:r w:rsidRPr="00A07FF1">
        <w:rPr>
          <w:rFonts w:cstheme="minorHAnsi"/>
          <w:sz w:val="24"/>
          <w:szCs w:val="24"/>
        </w:rPr>
        <w:t xml:space="preserve">. BEA also publishes </w:t>
      </w:r>
      <w:proofErr w:type="gramStart"/>
      <w:r w:rsidRPr="00A07FF1">
        <w:rPr>
          <w:rFonts w:cstheme="minorHAnsi"/>
          <w:sz w:val="24"/>
          <w:szCs w:val="24"/>
        </w:rPr>
        <w:t xml:space="preserve">more detailed quarterly and annual statistics for </w:t>
      </w:r>
      <w:r w:rsidRPr="00A07FF1">
        <w:rPr>
          <w:rFonts w:cstheme="minorHAnsi"/>
          <w:i/>
          <w:sz w:val="24"/>
          <w:szCs w:val="24"/>
        </w:rPr>
        <w:t>net adjustments</w:t>
      </w:r>
      <w:r w:rsidRPr="00A07FF1">
        <w:rPr>
          <w:rFonts w:cstheme="minorHAnsi"/>
          <w:sz w:val="24"/>
          <w:szCs w:val="24"/>
        </w:rPr>
        <w:t xml:space="preserve"> in </w:t>
      </w:r>
      <w:hyperlink r:id="rId34" w:history="1">
        <w:r w:rsidRPr="00A07FF1">
          <w:rPr>
            <w:rStyle w:val="Hyperlink"/>
            <w:rFonts w:cstheme="minorHAnsi"/>
            <w:sz w:val="24"/>
            <w:szCs w:val="24"/>
          </w:rPr>
          <w:t>ITA Table 2.4</w:t>
        </w:r>
        <w:proofErr w:type="gramEnd"/>
        <w:r w:rsidRPr="00A07FF1">
          <w:rPr>
            <w:rStyle w:val="Hyperlink"/>
            <w:rFonts w:cstheme="minorHAnsi"/>
            <w:sz w:val="24"/>
            <w:szCs w:val="24"/>
          </w:rPr>
          <w:t>. U.S. International Trade in Goods, Balance of Payments Adjustments</w:t>
        </w:r>
      </w:hyperlink>
      <w:r w:rsidRPr="00A07FF1">
        <w:rPr>
          <w:rFonts w:cstheme="minorHAnsi"/>
          <w:sz w:val="24"/>
          <w:szCs w:val="24"/>
        </w:rPr>
        <w:t xml:space="preserve"> and in the January, April, July, and October issues of the </w:t>
      </w:r>
      <w:r w:rsidRPr="00A07FF1">
        <w:rPr>
          <w:rFonts w:cstheme="minorHAnsi"/>
          <w:i/>
          <w:sz w:val="24"/>
          <w:szCs w:val="24"/>
        </w:rPr>
        <w:t>Survey of Current Business</w:t>
      </w:r>
      <w:r w:rsidRPr="00A07FF1">
        <w:rPr>
          <w:rFonts w:cstheme="minorHAnsi"/>
          <w:sz w:val="24"/>
          <w:szCs w:val="24"/>
        </w:rPr>
        <w:t>.</w:t>
      </w:r>
    </w:p>
    <w:p w14:paraId="18D88385" w14:textId="77777777" w:rsidR="001705DB" w:rsidRPr="00A07FF1" w:rsidRDefault="001705DB" w:rsidP="001705DB">
      <w:pPr>
        <w:spacing w:after="120"/>
        <w:ind w:left="-360"/>
        <w:rPr>
          <w:rFonts w:cstheme="minorHAnsi"/>
          <w:sz w:val="24"/>
          <w:szCs w:val="24"/>
        </w:rPr>
      </w:pPr>
      <w:r w:rsidRPr="00A07FF1">
        <w:rPr>
          <w:rFonts w:cstheme="minorHAnsi"/>
          <w:sz w:val="24"/>
          <w:szCs w:val="24"/>
        </w:rPr>
        <w:t>The export adjustments include:</w:t>
      </w:r>
    </w:p>
    <w:p w14:paraId="65653822"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Gold exports, nonmonetary</w:t>
      </w:r>
      <w:r w:rsidRPr="00A07FF1">
        <w:rPr>
          <w:rFonts w:cstheme="minorHAnsi"/>
          <w:bCs/>
          <w:sz w:val="24"/>
          <w:szCs w:val="24"/>
        </w:rPr>
        <w:t xml:space="preserve"> - This</w:t>
      </w:r>
      <w:r w:rsidRPr="00A07FF1">
        <w:rPr>
          <w:rFonts w:cstheme="minorHAnsi"/>
          <w:b/>
          <w:bCs/>
          <w:sz w:val="24"/>
          <w:szCs w:val="24"/>
        </w:rPr>
        <w:t xml:space="preserve"> </w:t>
      </w:r>
      <w:r w:rsidRPr="00A07FF1">
        <w:rPr>
          <w:rFonts w:cstheme="minorHAnsi"/>
          <w:bCs/>
          <w:i/>
          <w:sz w:val="24"/>
          <w:szCs w:val="24"/>
        </w:rPr>
        <w:t>addition</w:t>
      </w:r>
      <w:r w:rsidRPr="00A07FF1">
        <w:rPr>
          <w:rFonts w:cstheme="minorHAnsi"/>
          <w:bCs/>
          <w:sz w:val="24"/>
          <w:szCs w:val="24"/>
        </w:rPr>
        <w:t xml:space="preserve"> </w:t>
      </w:r>
      <w:proofErr w:type="gramStart"/>
      <w:r w:rsidRPr="00A07FF1">
        <w:rPr>
          <w:rFonts w:cstheme="minorHAnsi"/>
          <w:bCs/>
          <w:sz w:val="24"/>
          <w:szCs w:val="24"/>
        </w:rPr>
        <w:t>is made</w:t>
      </w:r>
      <w:proofErr w:type="gramEnd"/>
      <w:r w:rsidRPr="00A07FF1">
        <w:rPr>
          <w:rFonts w:cstheme="minorHAnsi"/>
          <w:bCs/>
          <w:sz w:val="24"/>
          <w:szCs w:val="24"/>
        </w:rPr>
        <w:t xml:space="preserve"> for gold that is purchased by foreign official agencies from private dealers in the United States and held at the Federal Reserve Bank of New York. The Census data only include gold that leaves the U.S. customs territory.</w:t>
      </w:r>
    </w:p>
    <w:p w14:paraId="7727538E" w14:textId="77777777" w:rsidR="001705DB" w:rsidRPr="00A07FF1" w:rsidRDefault="001705DB" w:rsidP="001705DB">
      <w:pPr>
        <w:spacing w:after="120"/>
        <w:ind w:left="-360"/>
        <w:rPr>
          <w:rFonts w:cstheme="minorHAnsi"/>
          <w:bCs/>
          <w:sz w:val="24"/>
          <w:szCs w:val="24"/>
        </w:rPr>
      </w:pPr>
      <w:r w:rsidRPr="00A07FF1">
        <w:rPr>
          <w:rFonts w:cstheme="minorHAnsi"/>
          <w:b/>
          <w:bCs/>
          <w:sz w:val="24"/>
          <w:szCs w:val="24"/>
        </w:rPr>
        <w:t>Goods procured in U.S. ports by foreign carriers</w:t>
      </w:r>
      <w:r w:rsidRPr="00A07FF1">
        <w:rPr>
          <w:rFonts w:cstheme="minorHAnsi"/>
          <w:bCs/>
          <w:sz w:val="24"/>
          <w:szCs w:val="24"/>
        </w:rPr>
        <w:t xml:space="preserve"> - </w:t>
      </w:r>
      <w:r w:rsidRPr="00A07FF1">
        <w:rPr>
          <w:rFonts w:cstheme="minorHAnsi"/>
          <w:sz w:val="24"/>
          <w:szCs w:val="24"/>
        </w:rPr>
        <w:t>T</w:t>
      </w:r>
      <w:r w:rsidRPr="00A07FF1">
        <w:rPr>
          <w:rFonts w:cstheme="minorHAnsi"/>
          <w:bCs/>
          <w:sz w:val="24"/>
          <w:szCs w:val="24"/>
        </w:rPr>
        <w:t xml:space="preserve">his </w:t>
      </w:r>
      <w:r w:rsidRPr="00A07FF1">
        <w:rPr>
          <w:rFonts w:cstheme="minorHAnsi"/>
          <w:bCs/>
          <w:i/>
          <w:sz w:val="24"/>
          <w:szCs w:val="24"/>
        </w:rPr>
        <w:t>addition</w:t>
      </w:r>
      <w:r w:rsidRPr="00A07FF1">
        <w:rPr>
          <w:rFonts w:cstheme="minorHAnsi"/>
          <w:bCs/>
          <w:sz w:val="24"/>
          <w:szCs w:val="24"/>
        </w:rPr>
        <w:t xml:space="preserve"> </w:t>
      </w:r>
      <w:proofErr w:type="gramStart"/>
      <w:r w:rsidRPr="00A07FF1">
        <w:rPr>
          <w:rFonts w:cstheme="minorHAnsi"/>
          <w:bCs/>
          <w:sz w:val="24"/>
          <w:szCs w:val="24"/>
        </w:rPr>
        <w:t>is made</w:t>
      </w:r>
      <w:proofErr w:type="gramEnd"/>
      <w:r w:rsidRPr="00A07FF1">
        <w:rPr>
          <w:rFonts w:cstheme="minorHAnsi"/>
          <w:bCs/>
          <w:sz w:val="24"/>
          <w:szCs w:val="24"/>
        </w:rPr>
        <w:t xml:space="preserve"> for foreign air and ocean carriers’ fuel purchases in U.S. ports.</w:t>
      </w:r>
    </w:p>
    <w:p w14:paraId="3ABD5B4F" w14:textId="77777777" w:rsidR="001705DB" w:rsidRPr="00A07FF1" w:rsidRDefault="001705DB" w:rsidP="001705DB">
      <w:pPr>
        <w:spacing w:after="120"/>
        <w:ind w:left="-360"/>
        <w:rPr>
          <w:rFonts w:cstheme="minorHAnsi"/>
          <w:bCs/>
          <w:sz w:val="24"/>
          <w:szCs w:val="24"/>
        </w:rPr>
      </w:pPr>
      <w:r w:rsidRPr="00A07FF1">
        <w:rPr>
          <w:rFonts w:cstheme="minorHAnsi"/>
          <w:b/>
          <w:bCs/>
          <w:sz w:val="24"/>
          <w:szCs w:val="24"/>
        </w:rPr>
        <w:t xml:space="preserve">Net exports of goods under </w:t>
      </w:r>
      <w:proofErr w:type="spellStart"/>
      <w:r w:rsidRPr="00A07FF1">
        <w:rPr>
          <w:rFonts w:cstheme="minorHAnsi"/>
          <w:b/>
          <w:bCs/>
          <w:sz w:val="24"/>
          <w:szCs w:val="24"/>
        </w:rPr>
        <w:t>merchanting</w:t>
      </w:r>
      <w:proofErr w:type="spellEnd"/>
      <w:r w:rsidRPr="00A07FF1">
        <w:rPr>
          <w:rFonts w:cstheme="minorHAnsi"/>
          <w:bCs/>
          <w:sz w:val="24"/>
          <w:szCs w:val="24"/>
        </w:rPr>
        <w:t xml:space="preserve"> - This </w:t>
      </w:r>
      <w:r w:rsidRPr="00A07FF1">
        <w:rPr>
          <w:rFonts w:cstheme="minorHAnsi"/>
          <w:bCs/>
          <w:i/>
          <w:sz w:val="24"/>
          <w:szCs w:val="24"/>
        </w:rPr>
        <w:t>addition</w:t>
      </w:r>
      <w:r w:rsidRPr="00A07FF1">
        <w:rPr>
          <w:rFonts w:cstheme="minorHAnsi"/>
          <w:bCs/>
          <w:sz w:val="24"/>
          <w:szCs w:val="24"/>
        </w:rPr>
        <w:t xml:space="preserve"> </w:t>
      </w:r>
      <w:proofErr w:type="gramStart"/>
      <w:r w:rsidRPr="00A07FF1">
        <w:rPr>
          <w:rFonts w:cstheme="minorHAnsi"/>
          <w:bCs/>
          <w:sz w:val="24"/>
          <w:szCs w:val="24"/>
        </w:rPr>
        <w:t>is made</w:t>
      </w:r>
      <w:proofErr w:type="gramEnd"/>
      <w:r w:rsidRPr="00A07FF1">
        <w:rPr>
          <w:rFonts w:cstheme="minorHAnsi"/>
          <w:bCs/>
          <w:sz w:val="24"/>
          <w:szCs w:val="24"/>
        </w:rPr>
        <w:t xml:space="preserve"> to include the net value of the purchase and subsequent resale of goods abroad without the goods entering the United States. Because these goods do not cross the U.S. customs frontier, their value </w:t>
      </w:r>
      <w:proofErr w:type="gramStart"/>
      <w:r w:rsidRPr="00A07FF1">
        <w:rPr>
          <w:rFonts w:cstheme="minorHAnsi"/>
          <w:bCs/>
          <w:sz w:val="24"/>
          <w:szCs w:val="24"/>
        </w:rPr>
        <w:t>is not recorded</w:t>
      </w:r>
      <w:proofErr w:type="gramEnd"/>
      <w:r w:rsidRPr="00A07FF1">
        <w:rPr>
          <w:rFonts w:cstheme="minorHAnsi"/>
          <w:bCs/>
          <w:sz w:val="24"/>
          <w:szCs w:val="24"/>
        </w:rPr>
        <w:t xml:space="preserve"> in the Census data.</w:t>
      </w:r>
    </w:p>
    <w:p w14:paraId="0D64AEC2" w14:textId="77777777" w:rsidR="001705DB" w:rsidRPr="00A07FF1" w:rsidRDefault="001705DB" w:rsidP="001705DB">
      <w:pPr>
        <w:spacing w:after="120"/>
        <w:ind w:left="-360"/>
        <w:rPr>
          <w:rFonts w:cstheme="minorHAnsi"/>
          <w:sz w:val="24"/>
          <w:szCs w:val="24"/>
        </w:rPr>
      </w:pPr>
      <w:r w:rsidRPr="00A07FF1">
        <w:rPr>
          <w:rFonts w:cstheme="minorHAnsi"/>
          <w:sz w:val="24"/>
          <w:szCs w:val="24"/>
        </w:rPr>
        <w:t>Other adjustments to exports include:</w:t>
      </w:r>
    </w:p>
    <w:p w14:paraId="6A90FFC5" w14:textId="2E083A3D" w:rsidR="001705DB" w:rsidRPr="00A07FF1" w:rsidRDefault="001705DB" w:rsidP="001705DB">
      <w:pPr>
        <w:spacing w:after="120"/>
        <w:ind w:left="-360"/>
        <w:rPr>
          <w:rFonts w:cstheme="minorHAnsi"/>
          <w:sz w:val="24"/>
          <w:szCs w:val="24"/>
        </w:rPr>
      </w:pPr>
      <w:r w:rsidRPr="00A07FF1">
        <w:rPr>
          <w:rFonts w:cstheme="minorHAnsi"/>
          <w:i/>
          <w:sz w:val="24"/>
          <w:szCs w:val="24"/>
        </w:rPr>
        <w:t>Deductions</w:t>
      </w:r>
      <w:r w:rsidRPr="00A07FF1">
        <w:rPr>
          <w:rFonts w:cstheme="minorHAnsi"/>
          <w:sz w:val="24"/>
          <w:szCs w:val="24"/>
        </w:rPr>
        <w:t xml:space="preserve"> for equipment repairs (parts and labor), developed motion picture film, </w:t>
      </w:r>
      <w:r w:rsidR="00323FBE" w:rsidRPr="00A07FF1">
        <w:rPr>
          <w:rFonts w:cstheme="minorHAnsi"/>
          <w:sz w:val="24"/>
          <w:szCs w:val="24"/>
        </w:rPr>
        <w:t>military grant-aid,</w:t>
      </w:r>
      <w:r w:rsidR="00323FBE" w:rsidRPr="00A07FF1">
        <w:rPr>
          <w:rFonts w:cstheme="minorHAnsi"/>
        </w:rPr>
        <w:t xml:space="preserve"> </w:t>
      </w:r>
      <w:r w:rsidR="00323FBE" w:rsidRPr="00A07FF1">
        <w:rPr>
          <w:rFonts w:cstheme="minorHAnsi"/>
          <w:sz w:val="24"/>
          <w:szCs w:val="24"/>
        </w:rPr>
        <w:t>and, for periods prior to 2010, goods identified in the Census data as exports under the Foreign Military Sales (FMS) program.</w:t>
      </w:r>
      <w:r w:rsidRPr="00A07FF1">
        <w:rPr>
          <w:rFonts w:cstheme="minorHAnsi"/>
          <w:sz w:val="24"/>
          <w:szCs w:val="24"/>
        </w:rPr>
        <w:t xml:space="preserve"> </w:t>
      </w:r>
      <w:proofErr w:type="gramStart"/>
      <w:r w:rsidRPr="00A07FF1">
        <w:rPr>
          <w:rFonts w:cstheme="minorHAnsi"/>
          <w:i/>
          <w:sz w:val="24"/>
          <w:szCs w:val="24"/>
        </w:rPr>
        <w:t>Additions</w:t>
      </w:r>
      <w:r w:rsidRPr="00A07FF1">
        <w:rPr>
          <w:rFonts w:cstheme="minorHAnsi"/>
          <w:sz w:val="24"/>
          <w:szCs w:val="24"/>
        </w:rPr>
        <w:t xml:space="preserve"> for sales of fish caught in U.S. territorial waters, exports of electricity to Mexico, private gift parcels, vessels and oil rigs for which ownership changes, valuation of software exports at market value, low-value (below reporting threshold) transactions for 1999–2009 to phase in a revised Census Bureau low-value methodology that was implemented for goods on a Census basis beginning with statistics for 2010</w:t>
      </w:r>
      <w:r w:rsidR="00323FBE" w:rsidRPr="00A07FF1">
        <w:rPr>
          <w:rFonts w:cstheme="minorHAnsi"/>
          <w:sz w:val="24"/>
          <w:szCs w:val="24"/>
        </w:rPr>
        <w:t>, and, for periods prior to 2010, FMS goods exports reported to BEA by the U.S. Department of Defense.</w:t>
      </w:r>
      <w:proofErr w:type="gramEnd"/>
    </w:p>
    <w:p w14:paraId="57B12AB7" w14:textId="77777777" w:rsidR="001705DB" w:rsidRPr="00A07FF1" w:rsidRDefault="001705DB" w:rsidP="001705DB">
      <w:pPr>
        <w:spacing w:after="120"/>
        <w:ind w:left="-360"/>
        <w:rPr>
          <w:rFonts w:cstheme="minorHAnsi"/>
          <w:sz w:val="24"/>
          <w:szCs w:val="24"/>
        </w:rPr>
      </w:pPr>
      <w:r w:rsidRPr="00A07FF1">
        <w:rPr>
          <w:rFonts w:cstheme="minorHAnsi"/>
          <w:sz w:val="24"/>
          <w:szCs w:val="24"/>
        </w:rPr>
        <w:lastRenderedPageBreak/>
        <w:t>The import adjustments include:</w:t>
      </w:r>
    </w:p>
    <w:p w14:paraId="42C09BE0"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Gold imports, nonmonetary</w:t>
      </w:r>
      <w:r w:rsidRPr="00A07FF1">
        <w:rPr>
          <w:rFonts w:cstheme="minorHAnsi"/>
          <w:bCs/>
          <w:sz w:val="24"/>
          <w:szCs w:val="24"/>
        </w:rPr>
        <w:t xml:space="preserve"> - This</w:t>
      </w:r>
      <w:r w:rsidRPr="00A07FF1">
        <w:rPr>
          <w:rFonts w:cstheme="minorHAnsi"/>
          <w:b/>
          <w:bCs/>
          <w:sz w:val="24"/>
          <w:szCs w:val="24"/>
        </w:rPr>
        <w:t xml:space="preserve"> </w:t>
      </w:r>
      <w:r w:rsidRPr="00A07FF1">
        <w:rPr>
          <w:rFonts w:cstheme="minorHAnsi"/>
          <w:i/>
          <w:sz w:val="24"/>
          <w:szCs w:val="24"/>
        </w:rPr>
        <w:t>addition</w:t>
      </w:r>
      <w:r w:rsidRPr="00A07FF1">
        <w:rPr>
          <w:rFonts w:cstheme="minorHAnsi"/>
          <w:sz w:val="24"/>
          <w:szCs w:val="24"/>
        </w:rPr>
        <w:t xml:space="preserve"> </w:t>
      </w:r>
      <w:proofErr w:type="gramStart"/>
      <w:r w:rsidRPr="00A07FF1">
        <w:rPr>
          <w:rFonts w:cstheme="minorHAnsi"/>
          <w:sz w:val="24"/>
          <w:szCs w:val="24"/>
        </w:rPr>
        <w:t>is made</w:t>
      </w:r>
      <w:proofErr w:type="gramEnd"/>
      <w:r w:rsidRPr="00A07FF1">
        <w:rPr>
          <w:rFonts w:cstheme="minorHAnsi"/>
          <w:sz w:val="24"/>
          <w:szCs w:val="24"/>
        </w:rPr>
        <w:t xml:space="preserve"> for gold sold by foreign official agencies to private purchasers out of stock held at the Federal Reserve Bank of New York. The Census data only include gold that enters the U.S. customs territory.</w:t>
      </w:r>
    </w:p>
    <w:p w14:paraId="7228C1B4"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Goods procured in foreign ports by U.S. carriers</w:t>
      </w:r>
      <w:r w:rsidRPr="00A07FF1">
        <w:rPr>
          <w:rFonts w:cstheme="minorHAnsi"/>
          <w:bCs/>
          <w:sz w:val="24"/>
          <w:szCs w:val="24"/>
        </w:rPr>
        <w:t xml:space="preserve"> - </w:t>
      </w:r>
      <w:r w:rsidRPr="00A07FF1">
        <w:rPr>
          <w:rFonts w:cstheme="minorHAnsi"/>
          <w:sz w:val="24"/>
          <w:szCs w:val="24"/>
        </w:rPr>
        <w:t>T</w:t>
      </w:r>
      <w:r w:rsidRPr="00A07FF1">
        <w:rPr>
          <w:rFonts w:cstheme="minorHAnsi"/>
          <w:bCs/>
          <w:sz w:val="24"/>
          <w:szCs w:val="24"/>
        </w:rPr>
        <w:t xml:space="preserve">his </w:t>
      </w:r>
      <w:r w:rsidRPr="00A07FF1">
        <w:rPr>
          <w:rFonts w:cstheme="minorHAnsi"/>
          <w:bCs/>
          <w:i/>
          <w:sz w:val="24"/>
          <w:szCs w:val="24"/>
        </w:rPr>
        <w:t>addition</w:t>
      </w:r>
      <w:r w:rsidRPr="00A07FF1">
        <w:rPr>
          <w:rFonts w:cstheme="minorHAnsi"/>
          <w:bCs/>
          <w:sz w:val="24"/>
          <w:szCs w:val="24"/>
        </w:rPr>
        <w:t xml:space="preserve"> </w:t>
      </w:r>
      <w:proofErr w:type="gramStart"/>
      <w:r w:rsidRPr="00A07FF1">
        <w:rPr>
          <w:rFonts w:cstheme="minorHAnsi"/>
          <w:bCs/>
          <w:sz w:val="24"/>
          <w:szCs w:val="24"/>
        </w:rPr>
        <w:t>is made</w:t>
      </w:r>
      <w:proofErr w:type="gramEnd"/>
      <w:r w:rsidRPr="00A07FF1">
        <w:rPr>
          <w:rFonts w:cstheme="minorHAnsi"/>
          <w:bCs/>
          <w:sz w:val="24"/>
          <w:szCs w:val="24"/>
        </w:rPr>
        <w:t xml:space="preserve"> for U.S. air and ocean carriers’ fuel purchases in foreign ports.</w:t>
      </w:r>
    </w:p>
    <w:p w14:paraId="209C14B9"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Imports by U.S. military agencies</w:t>
      </w:r>
      <w:r w:rsidRPr="00A07FF1">
        <w:rPr>
          <w:rFonts w:cstheme="minorHAnsi"/>
          <w:bCs/>
          <w:sz w:val="24"/>
          <w:szCs w:val="24"/>
        </w:rPr>
        <w:t xml:space="preserve"> - T</w:t>
      </w:r>
      <w:r w:rsidRPr="00A07FF1">
        <w:rPr>
          <w:rFonts w:cstheme="minorHAnsi"/>
          <w:sz w:val="24"/>
          <w:szCs w:val="24"/>
        </w:rPr>
        <w:t xml:space="preserve">his </w:t>
      </w:r>
      <w:r w:rsidRPr="00A07FF1">
        <w:rPr>
          <w:rFonts w:cstheme="minorHAnsi"/>
          <w:i/>
          <w:sz w:val="24"/>
          <w:szCs w:val="24"/>
        </w:rPr>
        <w:t>addition</w:t>
      </w:r>
      <w:r w:rsidRPr="00A07FF1">
        <w:rPr>
          <w:rFonts w:cstheme="minorHAnsi"/>
          <w:sz w:val="24"/>
          <w:szCs w:val="24"/>
        </w:rPr>
        <w:t xml:space="preserve"> </w:t>
      </w:r>
      <w:proofErr w:type="gramStart"/>
      <w:r w:rsidRPr="00A07FF1">
        <w:rPr>
          <w:rFonts w:cstheme="minorHAnsi"/>
          <w:sz w:val="24"/>
          <w:szCs w:val="24"/>
        </w:rPr>
        <w:t>is made</w:t>
      </w:r>
      <w:proofErr w:type="gramEnd"/>
      <w:r w:rsidRPr="00A07FF1">
        <w:rPr>
          <w:rFonts w:cstheme="minorHAnsi"/>
          <w:sz w:val="24"/>
          <w:szCs w:val="24"/>
        </w:rPr>
        <w:t xml:space="preserve"> for purchases of goods abroad by U.S. military agencies, which are reported to BEA by the Department of Defense. The Census data only include imports of goods by U.S. military agencies that enter the U.S. customs territory.</w:t>
      </w:r>
    </w:p>
    <w:p w14:paraId="1ED3BA47"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Inland freight in Canada and Mexico</w:t>
      </w:r>
      <w:r w:rsidRPr="00A07FF1">
        <w:rPr>
          <w:rFonts w:cstheme="minorHAnsi"/>
          <w:bCs/>
          <w:sz w:val="24"/>
          <w:szCs w:val="24"/>
        </w:rPr>
        <w:t xml:space="preserve"> - This</w:t>
      </w:r>
      <w:r w:rsidRPr="00A07FF1">
        <w:rPr>
          <w:rFonts w:cstheme="minorHAnsi"/>
          <w:b/>
          <w:bCs/>
          <w:sz w:val="24"/>
          <w:szCs w:val="24"/>
        </w:rPr>
        <w:t xml:space="preserve"> </w:t>
      </w:r>
      <w:r w:rsidRPr="00A07FF1">
        <w:rPr>
          <w:rFonts w:cstheme="minorHAnsi"/>
          <w:i/>
          <w:sz w:val="24"/>
          <w:szCs w:val="24"/>
        </w:rPr>
        <w:t>addition</w:t>
      </w:r>
      <w:r w:rsidRPr="00A07FF1">
        <w:rPr>
          <w:rFonts w:cstheme="minorHAnsi"/>
          <w:sz w:val="24"/>
          <w:szCs w:val="24"/>
        </w:rPr>
        <w:t xml:space="preserve"> </w:t>
      </w:r>
      <w:proofErr w:type="gramStart"/>
      <w:r w:rsidRPr="00A07FF1">
        <w:rPr>
          <w:rFonts w:cstheme="minorHAnsi"/>
          <w:sz w:val="24"/>
          <w:szCs w:val="24"/>
        </w:rPr>
        <w:t>is made</w:t>
      </w:r>
      <w:proofErr w:type="gramEnd"/>
      <w:r w:rsidRPr="00A07FF1">
        <w:rPr>
          <w:rFonts w:cstheme="minorHAnsi"/>
          <w:sz w:val="24"/>
          <w:szCs w:val="24"/>
        </w:rPr>
        <w:t xml:space="preserve"> for inland freight in Canada and Mexico. Imports of goods from all countries should be valued at the customs value—the value at the foreign port of export including inland freight charges. For imports from Canada and Mexico, this should be the cost of the goods at the U.S. border. However, the customs value for imports for certain Canadian and Mexican goods is the point of origin in Canada or Mexico. BEA makes an </w:t>
      </w:r>
      <w:r w:rsidRPr="00A07FF1">
        <w:rPr>
          <w:rFonts w:cstheme="minorHAnsi"/>
          <w:i/>
          <w:sz w:val="24"/>
          <w:szCs w:val="24"/>
        </w:rPr>
        <w:t>addition</w:t>
      </w:r>
      <w:r w:rsidRPr="00A07FF1">
        <w:rPr>
          <w:rFonts w:cstheme="minorHAnsi"/>
          <w:sz w:val="24"/>
          <w:szCs w:val="24"/>
        </w:rPr>
        <w:t xml:space="preserve"> for the inland freight charges of transporting these goods to the U.S. border to make the value comparable to the customs value reported for imports from other countries.</w:t>
      </w:r>
    </w:p>
    <w:p w14:paraId="3B9DEAB1" w14:textId="77777777" w:rsidR="001705DB" w:rsidRPr="00A07FF1" w:rsidRDefault="001705DB" w:rsidP="001705DB">
      <w:pPr>
        <w:spacing w:after="120"/>
        <w:ind w:left="-360"/>
        <w:rPr>
          <w:rFonts w:cstheme="minorHAnsi"/>
          <w:sz w:val="24"/>
          <w:szCs w:val="24"/>
        </w:rPr>
      </w:pPr>
      <w:r w:rsidRPr="00A07FF1">
        <w:rPr>
          <w:rFonts w:cstheme="minorHAnsi"/>
          <w:sz w:val="24"/>
          <w:szCs w:val="24"/>
        </w:rPr>
        <w:t>Other adjustments to imports include:</w:t>
      </w:r>
    </w:p>
    <w:p w14:paraId="34416B48" w14:textId="77777777" w:rsidR="001705DB" w:rsidRPr="00A07FF1" w:rsidRDefault="001705DB" w:rsidP="001705DB">
      <w:pPr>
        <w:spacing w:after="120"/>
        <w:ind w:left="-360"/>
        <w:rPr>
          <w:rFonts w:cstheme="minorHAnsi"/>
          <w:sz w:val="24"/>
          <w:szCs w:val="24"/>
        </w:rPr>
      </w:pPr>
      <w:r w:rsidRPr="00A07FF1">
        <w:rPr>
          <w:rFonts w:cstheme="minorHAnsi"/>
          <w:i/>
          <w:sz w:val="24"/>
          <w:szCs w:val="24"/>
        </w:rPr>
        <w:t>Deductions</w:t>
      </w:r>
      <w:r w:rsidRPr="00A07FF1">
        <w:rPr>
          <w:rFonts w:cstheme="minorHAnsi"/>
          <w:sz w:val="24"/>
          <w:szCs w:val="24"/>
        </w:rPr>
        <w:t xml:space="preserve"> for equipment repairs (parts and labor), repairs to U.S. vessels abroad, and developed motion picture film.  </w:t>
      </w:r>
      <w:r w:rsidRPr="00A07FF1">
        <w:rPr>
          <w:rFonts w:cstheme="minorHAnsi"/>
          <w:i/>
          <w:sz w:val="24"/>
          <w:szCs w:val="24"/>
        </w:rPr>
        <w:t>Additions</w:t>
      </w:r>
      <w:r w:rsidRPr="00A07FF1">
        <w:rPr>
          <w:rFonts w:cstheme="minorHAnsi"/>
          <w:sz w:val="24"/>
          <w:szCs w:val="24"/>
        </w:rPr>
        <w:t xml:space="preserve"> for non-reported imports of locomotives and railcars, imports of electricity from Mexico, conversion of vessels for commercial use, valuation of software imports at market value, and low-value (below reporting threshold) transactions for 1999–2009 to phase in a revised Census Bureau low-value methodology that was implemented for goods on a Census basis beginning with statistics for 2010.</w:t>
      </w:r>
    </w:p>
    <w:p w14:paraId="4CBD80F9" w14:textId="27C1EBBF" w:rsidR="001705DB" w:rsidRPr="00A07FF1" w:rsidRDefault="001705DB" w:rsidP="001705DB">
      <w:pPr>
        <w:spacing w:after="0"/>
        <w:ind w:left="-360"/>
        <w:rPr>
          <w:rFonts w:cstheme="minorHAnsi"/>
          <w:b/>
          <w:bCs/>
          <w:i/>
          <w:sz w:val="24"/>
          <w:szCs w:val="24"/>
        </w:rPr>
      </w:pPr>
      <w:r w:rsidRPr="00A07FF1">
        <w:rPr>
          <w:rFonts w:cstheme="minorHAnsi"/>
          <w:b/>
          <w:bCs/>
          <w:i/>
          <w:sz w:val="24"/>
          <w:szCs w:val="24"/>
        </w:rPr>
        <w:t>Services</w:t>
      </w:r>
    </w:p>
    <w:p w14:paraId="1D09A5CE" w14:textId="77777777" w:rsidR="001705DB" w:rsidRPr="00A07FF1" w:rsidRDefault="001705DB" w:rsidP="001705DB">
      <w:pPr>
        <w:spacing w:after="120"/>
        <w:ind w:left="-360"/>
        <w:rPr>
          <w:rFonts w:cstheme="minorHAnsi"/>
          <w:sz w:val="24"/>
          <w:szCs w:val="24"/>
        </w:rPr>
      </w:pPr>
      <w:r w:rsidRPr="00A07FF1">
        <w:rPr>
          <w:rFonts w:cstheme="minorHAnsi"/>
          <w:sz w:val="24"/>
          <w:szCs w:val="24"/>
        </w:rPr>
        <w:t xml:space="preserve">The services statistics cover transactions between foreign countries and the 50 states, the District of Columbia, Puerto Rico, the U.S. Virgin Islands, and other U.S. territories and possessions. Transactions with U.S. military, diplomatic, and consular installations abroad are excluded because these installations are considered </w:t>
      </w:r>
      <w:proofErr w:type="gramStart"/>
      <w:r w:rsidRPr="00A07FF1">
        <w:rPr>
          <w:rFonts w:cstheme="minorHAnsi"/>
          <w:sz w:val="24"/>
          <w:szCs w:val="24"/>
        </w:rPr>
        <w:t>to be part</w:t>
      </w:r>
      <w:proofErr w:type="gramEnd"/>
      <w:r w:rsidRPr="00A07FF1">
        <w:rPr>
          <w:rFonts w:cstheme="minorHAnsi"/>
          <w:sz w:val="24"/>
          <w:szCs w:val="24"/>
        </w:rPr>
        <w:t xml:space="preserve"> of the U.S. economy.</w:t>
      </w:r>
    </w:p>
    <w:p w14:paraId="162A7F0B" w14:textId="62E36DCA" w:rsidR="001705DB" w:rsidRPr="00A07FF1" w:rsidRDefault="001705DB" w:rsidP="001705DB">
      <w:pPr>
        <w:spacing w:after="120"/>
        <w:ind w:left="-360"/>
        <w:rPr>
          <w:rFonts w:cstheme="minorHAnsi"/>
          <w:sz w:val="24"/>
          <w:szCs w:val="24"/>
        </w:rPr>
      </w:pPr>
      <w:r w:rsidRPr="00A07FF1">
        <w:rPr>
          <w:rFonts w:cstheme="minorHAnsi"/>
          <w:sz w:val="24"/>
          <w:szCs w:val="24"/>
        </w:rPr>
        <w:t xml:space="preserve">Services statistics </w:t>
      </w:r>
      <w:proofErr w:type="gramStart"/>
      <w:r w:rsidRPr="00A07FF1">
        <w:rPr>
          <w:rFonts w:cstheme="minorHAnsi"/>
          <w:sz w:val="24"/>
          <w:szCs w:val="24"/>
        </w:rPr>
        <w:t>are based</w:t>
      </w:r>
      <w:proofErr w:type="gramEnd"/>
      <w:r w:rsidRPr="00A07FF1">
        <w:rPr>
          <w:rFonts w:cstheme="minorHAnsi"/>
          <w:sz w:val="24"/>
          <w:szCs w:val="24"/>
        </w:rPr>
        <w:t xml:space="preserve"> on quarterly, annual, and benchmark surveys and information obtained from monthly government and industry reports. For categories for which monthly data are not available, </w:t>
      </w:r>
      <w:r w:rsidRPr="00A07FF1">
        <w:rPr>
          <w:rFonts w:cstheme="minorHAnsi"/>
          <w:sz w:val="24"/>
          <w:szCs w:val="24"/>
        </w:rPr>
        <w:lastRenderedPageBreak/>
        <w:t xml:space="preserve">monthly statistics </w:t>
      </w:r>
      <w:proofErr w:type="gramStart"/>
      <w:r w:rsidRPr="00A07FF1">
        <w:rPr>
          <w:rFonts w:cstheme="minorHAnsi"/>
          <w:sz w:val="24"/>
          <w:szCs w:val="24"/>
        </w:rPr>
        <w:t>are derived</w:t>
      </w:r>
      <w:proofErr w:type="gramEnd"/>
      <w:r w:rsidRPr="00A07FF1">
        <w:rPr>
          <w:rFonts w:cstheme="minorHAnsi"/>
          <w:sz w:val="24"/>
          <w:szCs w:val="24"/>
        </w:rPr>
        <w:t xml:space="preserve"> from quarterly statistics through temporal distribution, or interpolation. The interpolation methodology used by BEA is the modified Denton proportional first difference method. This method preserves the pattern of the monthly indicator series, if available, while satisfying the annual aggregation constraints. See “</w:t>
      </w:r>
      <w:hyperlink r:id="rId35" w:history="1">
        <w:r w:rsidRPr="00A07FF1">
          <w:rPr>
            <w:rStyle w:val="Hyperlink"/>
            <w:rFonts w:cstheme="minorHAnsi"/>
            <w:sz w:val="24"/>
            <w:szCs w:val="24"/>
          </w:rPr>
          <w:t>An Empirical Review of Methods for Temporal Distribution and Interpolation in the National Accounts</w:t>
        </w:r>
      </w:hyperlink>
      <w:r w:rsidRPr="00A07FF1">
        <w:rPr>
          <w:rFonts w:cstheme="minorHAnsi"/>
          <w:sz w:val="24"/>
          <w:szCs w:val="24"/>
        </w:rPr>
        <w:t xml:space="preserve">” (May 2008) for more information. Services </w:t>
      </w:r>
      <w:proofErr w:type="gramStart"/>
      <w:r w:rsidRPr="00A07FF1">
        <w:rPr>
          <w:rFonts w:cstheme="minorHAnsi"/>
          <w:sz w:val="24"/>
          <w:szCs w:val="24"/>
        </w:rPr>
        <w:t>are seasonally adjusted</w:t>
      </w:r>
      <w:proofErr w:type="gramEnd"/>
      <w:r w:rsidRPr="00A07FF1">
        <w:rPr>
          <w:rFonts w:cstheme="minorHAnsi"/>
          <w:sz w:val="24"/>
          <w:szCs w:val="24"/>
        </w:rPr>
        <w:t xml:space="preserve"> when statistically significant seasonal patterns are present.</w:t>
      </w:r>
    </w:p>
    <w:p w14:paraId="77588D1A" w14:textId="77777777" w:rsidR="001705DB" w:rsidRPr="00A07FF1" w:rsidRDefault="001705DB" w:rsidP="001705DB">
      <w:pPr>
        <w:spacing w:after="120"/>
        <w:ind w:left="-360"/>
        <w:rPr>
          <w:rFonts w:cstheme="minorHAnsi"/>
          <w:sz w:val="24"/>
          <w:szCs w:val="24"/>
        </w:rPr>
      </w:pPr>
      <w:r w:rsidRPr="00A07FF1">
        <w:rPr>
          <w:rFonts w:cstheme="minorHAnsi"/>
          <w:sz w:val="24"/>
          <w:szCs w:val="24"/>
        </w:rPr>
        <w:t xml:space="preserve">Services </w:t>
      </w:r>
      <w:proofErr w:type="gramStart"/>
      <w:r w:rsidRPr="00A07FF1">
        <w:rPr>
          <w:rFonts w:cstheme="minorHAnsi"/>
          <w:sz w:val="24"/>
          <w:szCs w:val="24"/>
        </w:rPr>
        <w:t>are shown</w:t>
      </w:r>
      <w:proofErr w:type="gramEnd"/>
      <w:r w:rsidRPr="00A07FF1">
        <w:rPr>
          <w:rFonts w:cstheme="minorHAnsi"/>
          <w:sz w:val="24"/>
          <w:szCs w:val="24"/>
        </w:rPr>
        <w:t xml:space="preserve"> in nine broad categories. The following is a brief description of the types of services included in each category:</w:t>
      </w:r>
    </w:p>
    <w:p w14:paraId="1B2A22EC" w14:textId="77777777" w:rsidR="001705DB" w:rsidRPr="00A07FF1" w:rsidRDefault="001705DB" w:rsidP="001705DB">
      <w:pPr>
        <w:spacing w:after="120"/>
        <w:ind w:left="-360"/>
        <w:rPr>
          <w:rFonts w:cstheme="minorHAnsi"/>
          <w:bCs/>
          <w:sz w:val="24"/>
          <w:szCs w:val="24"/>
        </w:rPr>
      </w:pPr>
      <w:r w:rsidRPr="00A07FF1">
        <w:rPr>
          <w:rFonts w:cstheme="minorHAnsi"/>
          <w:b/>
          <w:bCs/>
          <w:sz w:val="24"/>
          <w:szCs w:val="24"/>
        </w:rPr>
        <w:t xml:space="preserve">Maintenance and repair services </w:t>
      </w:r>
      <w:proofErr w:type="spellStart"/>
      <w:r w:rsidRPr="00A07FF1">
        <w:rPr>
          <w:rFonts w:cstheme="minorHAnsi"/>
          <w:b/>
          <w:bCs/>
          <w:sz w:val="24"/>
          <w:szCs w:val="24"/>
        </w:rPr>
        <w:t>n.i.e</w:t>
      </w:r>
      <w:proofErr w:type="spellEnd"/>
      <w:r w:rsidRPr="00A07FF1">
        <w:rPr>
          <w:rFonts w:cstheme="minorHAnsi"/>
          <w:b/>
          <w:bCs/>
          <w:sz w:val="24"/>
          <w:szCs w:val="24"/>
        </w:rPr>
        <w:t>. (not included elsewhere)</w:t>
      </w:r>
      <w:r w:rsidRPr="00A07FF1">
        <w:rPr>
          <w:rFonts w:cstheme="minorHAnsi"/>
          <w:bCs/>
          <w:sz w:val="24"/>
          <w:szCs w:val="24"/>
        </w:rPr>
        <w:t xml:space="preserve"> - Consists of </w:t>
      </w:r>
      <w:r w:rsidRPr="00A07FF1">
        <w:rPr>
          <w:rFonts w:cstheme="minorHAnsi"/>
          <w:sz w:val="24"/>
          <w:szCs w:val="24"/>
        </w:rPr>
        <w:t xml:space="preserve">maintenance and repair services performed by residents of one country on goods that are owned by residents of another country. The repairs </w:t>
      </w:r>
      <w:proofErr w:type="gramStart"/>
      <w:r w:rsidRPr="00A07FF1">
        <w:rPr>
          <w:rFonts w:cstheme="minorHAnsi"/>
          <w:sz w:val="24"/>
          <w:szCs w:val="24"/>
        </w:rPr>
        <w:t>may be performed</w:t>
      </w:r>
      <w:proofErr w:type="gramEnd"/>
      <w:r w:rsidRPr="00A07FF1">
        <w:rPr>
          <w:rFonts w:cstheme="minorHAnsi"/>
          <w:sz w:val="24"/>
          <w:szCs w:val="24"/>
        </w:rPr>
        <w:t xml:space="preserve"> at the site of the repair facility or elsewhere. Excludes such services in which the cost is included in the price of the goods and </w:t>
      </w:r>
      <w:proofErr w:type="gramStart"/>
      <w:r w:rsidRPr="00A07FF1">
        <w:rPr>
          <w:rFonts w:cstheme="minorHAnsi"/>
          <w:sz w:val="24"/>
          <w:szCs w:val="24"/>
        </w:rPr>
        <w:t>is not billed</w:t>
      </w:r>
      <w:proofErr w:type="gramEnd"/>
      <w:r w:rsidRPr="00A07FF1">
        <w:rPr>
          <w:rFonts w:cstheme="minorHAnsi"/>
          <w:sz w:val="24"/>
          <w:szCs w:val="24"/>
        </w:rPr>
        <w:t xml:space="preserve"> separately or is declared as a part of the price of the goods on the import or export declaration filed with the U.S. Customs and Border Protection. Maintenance and repair of computers are included under computer services, and some maintenance and repair of ships, aircraft, and other transport equipment are included under transport services.</w:t>
      </w:r>
    </w:p>
    <w:p w14:paraId="3A8A709B" w14:textId="77777777" w:rsidR="001705DB" w:rsidRPr="00A07FF1" w:rsidRDefault="001705DB" w:rsidP="001705DB">
      <w:pPr>
        <w:spacing w:after="120"/>
        <w:ind w:left="-360"/>
        <w:rPr>
          <w:rFonts w:cstheme="minorHAnsi"/>
          <w:b/>
          <w:bCs/>
          <w:sz w:val="24"/>
          <w:szCs w:val="24"/>
        </w:rPr>
      </w:pPr>
      <w:r w:rsidRPr="00A07FF1">
        <w:rPr>
          <w:rFonts w:cstheme="minorHAnsi"/>
          <w:b/>
          <w:bCs/>
          <w:sz w:val="24"/>
          <w:szCs w:val="24"/>
        </w:rPr>
        <w:t>Transport</w:t>
      </w:r>
      <w:r w:rsidRPr="00A07FF1">
        <w:rPr>
          <w:rFonts w:cstheme="minorHAnsi"/>
          <w:sz w:val="24"/>
          <w:szCs w:val="24"/>
        </w:rPr>
        <w:t xml:space="preserve"> - Consists of transactions associated with moving people and freight from one location to another and includes related supporting and auxiliary services. Transport covers all modes of transportation, including air, sea, rail, road, space, and pipeline. Postal and courier services and port services, which cover cargo handling, storage and warehousing, and other related transport services, are also included.</w:t>
      </w:r>
    </w:p>
    <w:p w14:paraId="6C0EBEFA"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Travel (for all purposes including education)</w:t>
      </w:r>
      <w:r w:rsidRPr="00A07FF1">
        <w:rPr>
          <w:rFonts w:cstheme="minorHAnsi"/>
          <w:sz w:val="24"/>
          <w:szCs w:val="24"/>
        </w:rPr>
        <w:t xml:space="preserve"> - Includes goods and services acquired by nonresidents while abroad. A traveler is defined as a person who stays, or intends to stay, for less than one year in a country of which he or she is not a resident or as a nonresident whose purpose is to obtain education or medical treatment, no matter how long the stay. Purchases can be either for own use or for gifts to others. Travel is a </w:t>
      </w:r>
      <w:proofErr w:type="spellStart"/>
      <w:r w:rsidRPr="00A07FF1">
        <w:rPr>
          <w:rFonts w:cstheme="minorHAnsi"/>
          <w:sz w:val="24"/>
          <w:szCs w:val="24"/>
        </w:rPr>
        <w:t>transactor</w:t>
      </w:r>
      <w:proofErr w:type="spellEnd"/>
      <w:r w:rsidRPr="00A07FF1">
        <w:rPr>
          <w:rFonts w:cstheme="minorHAnsi"/>
          <w:sz w:val="24"/>
          <w:szCs w:val="24"/>
        </w:rPr>
        <w:t xml:space="preserve">-based component that covers a variety of goods and services, primarily lodging, meals, transportation in the country of travel, amusement, entertainment, and gifts. Travel excludes air passenger services for travel between countries, which are included in </w:t>
      </w:r>
      <w:r w:rsidRPr="00A07FF1">
        <w:rPr>
          <w:rFonts w:cstheme="minorHAnsi"/>
          <w:i/>
          <w:sz w:val="24"/>
          <w:szCs w:val="24"/>
        </w:rPr>
        <w:t>transport</w:t>
      </w:r>
      <w:r w:rsidRPr="00A07FF1">
        <w:rPr>
          <w:rFonts w:cstheme="minorHAnsi"/>
          <w:sz w:val="24"/>
          <w:szCs w:val="24"/>
        </w:rPr>
        <w:t>, and goods for resale, which are included in goods.</w:t>
      </w:r>
    </w:p>
    <w:p w14:paraId="0CC16067" w14:textId="77777777" w:rsidR="001705DB" w:rsidRPr="00A07FF1" w:rsidRDefault="001705DB" w:rsidP="001705DB">
      <w:pPr>
        <w:spacing w:after="120"/>
        <w:ind w:left="-360"/>
        <w:rPr>
          <w:rFonts w:cstheme="minorHAnsi"/>
          <w:sz w:val="24"/>
          <w:szCs w:val="24"/>
        </w:rPr>
      </w:pPr>
      <w:r w:rsidRPr="00A07FF1">
        <w:rPr>
          <w:rFonts w:cstheme="minorHAnsi"/>
          <w:sz w:val="24"/>
          <w:szCs w:val="24"/>
        </w:rPr>
        <w:lastRenderedPageBreak/>
        <w:t xml:space="preserve">Travel includes business and personal travel. Business travel covers goods and services acquired for use by persons whose primary purpose for travel is for business (including goods and services for which business </w:t>
      </w:r>
      <w:proofErr w:type="gramStart"/>
      <w:r w:rsidRPr="00A07FF1">
        <w:rPr>
          <w:rFonts w:cstheme="minorHAnsi"/>
          <w:sz w:val="24"/>
          <w:szCs w:val="24"/>
        </w:rPr>
        <w:t>travelers are reimbursed by employers</w:t>
      </w:r>
      <w:proofErr w:type="gramEnd"/>
      <w:r w:rsidRPr="00A07FF1">
        <w:rPr>
          <w:rFonts w:cstheme="minorHAnsi"/>
          <w:sz w:val="24"/>
          <w:szCs w:val="24"/>
        </w:rPr>
        <w:t>). Business travel also includes expenditures by border, seasonal, and other short-term workers in their economy of employment. Personal travel covers travel for all non-business purposes, including for medical or educational purposes.</w:t>
      </w:r>
    </w:p>
    <w:p w14:paraId="719C1254" w14:textId="77777777" w:rsidR="001705DB" w:rsidRPr="00A07FF1" w:rsidRDefault="001705DB" w:rsidP="001705DB">
      <w:pPr>
        <w:spacing w:after="120"/>
        <w:ind w:left="-360"/>
        <w:rPr>
          <w:rFonts w:cstheme="minorHAnsi"/>
          <w:sz w:val="24"/>
          <w:szCs w:val="24"/>
        </w:rPr>
      </w:pPr>
      <w:r w:rsidRPr="00A07FF1">
        <w:rPr>
          <w:rFonts w:cstheme="minorHAnsi"/>
          <w:b/>
          <w:sz w:val="24"/>
          <w:szCs w:val="24"/>
        </w:rPr>
        <w:t>Insurance services</w:t>
      </w:r>
      <w:r w:rsidRPr="00A07FF1">
        <w:rPr>
          <w:rFonts w:cstheme="minorHAnsi"/>
          <w:sz w:val="24"/>
          <w:szCs w:val="24"/>
        </w:rPr>
        <w:t xml:space="preserve"> - Includes the direct insurance services of providing life insurance and annuities, non-life (property and casualty) insurance, reinsurance, freight insurance, and auxiliary insurance services.  Insurance </w:t>
      </w:r>
      <w:proofErr w:type="gramStart"/>
      <w:r w:rsidRPr="00A07FF1">
        <w:rPr>
          <w:rFonts w:cstheme="minorHAnsi"/>
          <w:sz w:val="24"/>
          <w:szCs w:val="24"/>
        </w:rPr>
        <w:t>is measured</w:t>
      </w:r>
      <w:proofErr w:type="gramEnd"/>
      <w:r w:rsidRPr="00A07FF1">
        <w:rPr>
          <w:rFonts w:cstheme="minorHAnsi"/>
          <w:sz w:val="24"/>
          <w:szCs w:val="24"/>
        </w:rPr>
        <w:t xml:space="preserve"> as gross premiums earned plus premium supplements less claims payable, with an adjustment for claims volatility. Premium supplements represent investment income from insurance reserves, which </w:t>
      </w:r>
      <w:proofErr w:type="gramStart"/>
      <w:r w:rsidRPr="00A07FF1">
        <w:rPr>
          <w:rFonts w:cstheme="minorHAnsi"/>
          <w:sz w:val="24"/>
          <w:szCs w:val="24"/>
        </w:rPr>
        <w:t>are attributed</w:t>
      </w:r>
      <w:proofErr w:type="gramEnd"/>
      <w:r w:rsidRPr="00A07FF1">
        <w:rPr>
          <w:rFonts w:cstheme="minorHAnsi"/>
          <w:sz w:val="24"/>
          <w:szCs w:val="24"/>
        </w:rPr>
        <w:t xml:space="preserve"> to policyholders who are treated as paying the income back to the insurer. Auxiliary insurance services include agents’ commissions, brokerage services, insurance consulting services, actuarial services, and other insurance services.</w:t>
      </w:r>
    </w:p>
    <w:p w14:paraId="0B78023A" w14:textId="77777777" w:rsidR="001705DB" w:rsidRPr="00A07FF1" w:rsidRDefault="001705DB" w:rsidP="001705DB">
      <w:pPr>
        <w:spacing w:after="120"/>
        <w:ind w:left="-360"/>
        <w:rPr>
          <w:rFonts w:cstheme="minorHAnsi"/>
          <w:sz w:val="24"/>
          <w:szCs w:val="24"/>
        </w:rPr>
      </w:pPr>
      <w:r w:rsidRPr="00A07FF1">
        <w:rPr>
          <w:rFonts w:cstheme="minorHAnsi"/>
          <w:b/>
          <w:sz w:val="24"/>
          <w:szCs w:val="24"/>
        </w:rPr>
        <w:t>Financial services</w:t>
      </w:r>
      <w:r w:rsidRPr="00A07FF1">
        <w:rPr>
          <w:rFonts w:cstheme="minorHAnsi"/>
          <w:sz w:val="24"/>
          <w:szCs w:val="24"/>
        </w:rPr>
        <w:t xml:space="preserve"> - Includes financial intermediary and auxiliary services, except insurance services. These services include those normally provided by banks and other financial institutions. Services primarily include those for which an explicit commission or a fee is charged; implicit fees for bond transactions, measured as the difference between </w:t>
      </w:r>
      <w:proofErr w:type="gramStart"/>
      <w:r w:rsidRPr="00A07FF1">
        <w:rPr>
          <w:rFonts w:cstheme="minorHAnsi"/>
          <w:sz w:val="24"/>
          <w:szCs w:val="24"/>
        </w:rPr>
        <w:t>bid</w:t>
      </w:r>
      <w:proofErr w:type="gramEnd"/>
      <w:r w:rsidRPr="00A07FF1">
        <w:rPr>
          <w:rFonts w:cstheme="minorHAnsi"/>
          <w:sz w:val="24"/>
          <w:szCs w:val="24"/>
        </w:rPr>
        <w:t xml:space="preserve"> and ask prices, are also included. Services include securities brokerage and underwriting, financial management, financial advisory, and custody services; credit and other credit-related services; and securities lending, electronic funds transfer, and other services.</w:t>
      </w:r>
    </w:p>
    <w:p w14:paraId="15FA1927"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 xml:space="preserve">Charges for the use of intellectual property </w:t>
      </w:r>
      <w:proofErr w:type="spellStart"/>
      <w:r w:rsidRPr="00A07FF1">
        <w:rPr>
          <w:rFonts w:cstheme="minorHAnsi"/>
          <w:b/>
          <w:bCs/>
          <w:sz w:val="24"/>
          <w:szCs w:val="24"/>
        </w:rPr>
        <w:t>n.i.e</w:t>
      </w:r>
      <w:proofErr w:type="spellEnd"/>
      <w:r w:rsidRPr="00A07FF1">
        <w:rPr>
          <w:rFonts w:cstheme="minorHAnsi"/>
          <w:b/>
          <w:bCs/>
          <w:sz w:val="24"/>
          <w:szCs w:val="24"/>
        </w:rPr>
        <w:t>.</w:t>
      </w:r>
      <w:r w:rsidRPr="00A07FF1">
        <w:rPr>
          <w:rFonts w:cstheme="minorHAnsi"/>
          <w:sz w:val="24"/>
          <w:szCs w:val="24"/>
        </w:rPr>
        <w:t xml:space="preserve"> - I</w:t>
      </w:r>
      <w:r w:rsidRPr="00A07FF1">
        <w:rPr>
          <w:rFonts w:cstheme="minorHAnsi"/>
          <w:bCs/>
          <w:sz w:val="24"/>
          <w:szCs w:val="24"/>
        </w:rPr>
        <w:t xml:space="preserve">ncludes charges for the use of proprietary rights, such as patents, trademarks, </w:t>
      </w:r>
      <w:proofErr w:type="gramStart"/>
      <w:r w:rsidRPr="00A07FF1">
        <w:rPr>
          <w:rFonts w:cstheme="minorHAnsi"/>
          <w:bCs/>
          <w:sz w:val="24"/>
          <w:szCs w:val="24"/>
        </w:rPr>
        <w:t>and copyrights</w:t>
      </w:r>
      <w:proofErr w:type="gramEnd"/>
      <w:r w:rsidRPr="00A07FF1">
        <w:rPr>
          <w:rFonts w:cstheme="minorHAnsi"/>
          <w:bCs/>
          <w:sz w:val="24"/>
          <w:szCs w:val="24"/>
        </w:rPr>
        <w:t>, and charges for licenses to use, reproduce, distribute, and sell or purchase intellectual property</w:t>
      </w:r>
      <w:r w:rsidRPr="00A07FF1">
        <w:rPr>
          <w:rFonts w:cstheme="minorHAnsi"/>
          <w:b/>
          <w:bCs/>
          <w:sz w:val="24"/>
          <w:szCs w:val="24"/>
        </w:rPr>
        <w:t>.</w:t>
      </w:r>
    </w:p>
    <w:p w14:paraId="36A3BBD8" w14:textId="77777777" w:rsidR="001705DB" w:rsidRPr="00A07FF1" w:rsidRDefault="001705DB" w:rsidP="001705DB">
      <w:pPr>
        <w:spacing w:after="120"/>
        <w:ind w:left="-360"/>
        <w:rPr>
          <w:rFonts w:cstheme="minorHAnsi"/>
          <w:sz w:val="24"/>
          <w:szCs w:val="24"/>
        </w:rPr>
      </w:pPr>
      <w:r w:rsidRPr="00A07FF1">
        <w:rPr>
          <w:rFonts w:cstheme="minorHAnsi"/>
          <w:b/>
          <w:sz w:val="24"/>
          <w:szCs w:val="24"/>
        </w:rPr>
        <w:t>Telecommunications, computer, and information services</w:t>
      </w:r>
      <w:r w:rsidRPr="00A07FF1">
        <w:rPr>
          <w:rFonts w:cstheme="minorHAnsi"/>
          <w:sz w:val="24"/>
          <w:szCs w:val="24"/>
        </w:rPr>
        <w:t xml:space="preserve"> - Telecommunications services include the broadcast or transmission of sound, images, data, or other information by electronic means. These services do not include the value of the information transmitted. Computer services consist of hardware- and software-related services and data processing services. Sales of customized software and related use licenses, as well as licenses to use non-customized software with a periodic license fee, are also included, as is software downloaded or otherwise electronically delivered. Cross-border transactions in non-customized packaged software with a license for perpetual use are included in goods. Information services include news agency services, database services, and web search portals.</w:t>
      </w:r>
    </w:p>
    <w:p w14:paraId="426A1CAB" w14:textId="77777777" w:rsidR="001705DB" w:rsidRPr="00A07FF1" w:rsidRDefault="001705DB" w:rsidP="001705DB">
      <w:pPr>
        <w:spacing w:after="120"/>
        <w:ind w:left="-360"/>
        <w:rPr>
          <w:rFonts w:cstheme="minorHAnsi"/>
          <w:sz w:val="24"/>
          <w:szCs w:val="24"/>
        </w:rPr>
      </w:pPr>
      <w:r w:rsidRPr="00A07FF1">
        <w:rPr>
          <w:rFonts w:cstheme="minorHAnsi"/>
          <w:b/>
          <w:sz w:val="24"/>
          <w:szCs w:val="24"/>
        </w:rPr>
        <w:lastRenderedPageBreak/>
        <w:t>Other business services</w:t>
      </w:r>
      <w:r w:rsidRPr="00A07FF1">
        <w:rPr>
          <w:rFonts w:cstheme="minorHAnsi"/>
          <w:sz w:val="24"/>
          <w:szCs w:val="24"/>
        </w:rPr>
        <w:t xml:space="preserve"> - Consists of research and development services, professional and management consulting services, and technical, trade-related, and other business services. Research and development services include services associated with basic and applied research and experimental development of new products and processes. Professional and management consulting services include legal services, accounting, management consulting, managerial services, public relations services, advertising, and market research. Amounts received by a parent company from its affiliates for general overhead expenses related to these services are included. Technical, trade-related, and other business services include architectural and engineering, construction, audio-visual, waste treatment, operational leasing, trade-related, and other business services.</w:t>
      </w:r>
    </w:p>
    <w:p w14:paraId="7BDAA5BB" w14:textId="77777777" w:rsidR="001705DB" w:rsidRPr="00A07FF1" w:rsidRDefault="001705DB" w:rsidP="001705DB">
      <w:pPr>
        <w:spacing w:after="120"/>
        <w:ind w:left="-360"/>
        <w:rPr>
          <w:rFonts w:cstheme="minorHAnsi"/>
          <w:b/>
          <w:bCs/>
          <w:sz w:val="24"/>
          <w:szCs w:val="24"/>
        </w:rPr>
      </w:pPr>
      <w:r w:rsidRPr="00A07FF1">
        <w:rPr>
          <w:rFonts w:cstheme="minorHAnsi"/>
          <w:b/>
          <w:bCs/>
          <w:sz w:val="24"/>
          <w:szCs w:val="24"/>
        </w:rPr>
        <w:t xml:space="preserve">Government goods and services </w:t>
      </w:r>
      <w:proofErr w:type="spellStart"/>
      <w:r w:rsidRPr="00A07FF1">
        <w:rPr>
          <w:rFonts w:cstheme="minorHAnsi"/>
          <w:b/>
          <w:bCs/>
          <w:sz w:val="24"/>
          <w:szCs w:val="24"/>
        </w:rPr>
        <w:t>n.i.e</w:t>
      </w:r>
      <w:proofErr w:type="spellEnd"/>
      <w:r w:rsidRPr="00A07FF1">
        <w:rPr>
          <w:rFonts w:cstheme="minorHAnsi"/>
          <w:b/>
          <w:bCs/>
          <w:sz w:val="24"/>
          <w:szCs w:val="24"/>
        </w:rPr>
        <w:t>.</w:t>
      </w:r>
      <w:r w:rsidRPr="00A07FF1">
        <w:rPr>
          <w:rFonts w:cstheme="minorHAnsi"/>
          <w:bCs/>
          <w:sz w:val="24"/>
          <w:szCs w:val="24"/>
        </w:rPr>
        <w:t xml:space="preserve"> - Includes goods and services supplied by and to enclaves, such as embassies, military bases, and international organizations; goods and services acquired from the host economy by diplomats, consular staff, and military personnel located abroad and their dependents; and services supplied by and to governments that are not included in other services categories. Services supplied by and to governments </w:t>
      </w:r>
      <w:proofErr w:type="gramStart"/>
      <w:r w:rsidRPr="00A07FF1">
        <w:rPr>
          <w:rFonts w:cstheme="minorHAnsi"/>
          <w:bCs/>
          <w:sz w:val="24"/>
          <w:szCs w:val="24"/>
        </w:rPr>
        <w:t>are classified</w:t>
      </w:r>
      <w:proofErr w:type="gramEnd"/>
      <w:r w:rsidRPr="00A07FF1">
        <w:rPr>
          <w:rFonts w:cstheme="minorHAnsi"/>
          <w:bCs/>
          <w:sz w:val="24"/>
          <w:szCs w:val="24"/>
        </w:rPr>
        <w:t xml:space="preserve"> to specific services categories when source data permit.</w:t>
      </w:r>
    </w:p>
    <w:p w14:paraId="0E15006E" w14:textId="77777777" w:rsidR="001705DB" w:rsidRPr="00A07FF1" w:rsidRDefault="001705DB" w:rsidP="001705DB">
      <w:pPr>
        <w:spacing w:after="0"/>
        <w:ind w:left="-360"/>
        <w:rPr>
          <w:rFonts w:cstheme="minorHAnsi"/>
          <w:sz w:val="24"/>
          <w:szCs w:val="24"/>
        </w:rPr>
      </w:pPr>
      <w:r w:rsidRPr="00A07FF1">
        <w:rPr>
          <w:rFonts w:cstheme="minorHAnsi"/>
          <w:b/>
          <w:bCs/>
          <w:i/>
          <w:sz w:val="24"/>
          <w:szCs w:val="24"/>
        </w:rPr>
        <w:t>Goods (BOP Basis) and Services by Country and Area</w:t>
      </w:r>
    </w:p>
    <w:p w14:paraId="56BE3B6D" w14:textId="77777777" w:rsidR="001705DB" w:rsidRPr="00A07FF1" w:rsidRDefault="001705DB" w:rsidP="001705DB">
      <w:pPr>
        <w:spacing w:after="120"/>
        <w:ind w:left="-360"/>
        <w:rPr>
          <w:rFonts w:cstheme="minorHAnsi"/>
          <w:sz w:val="24"/>
          <w:szCs w:val="24"/>
        </w:rPr>
      </w:pPr>
      <w:r w:rsidRPr="00A07FF1">
        <w:rPr>
          <w:rFonts w:cstheme="minorHAnsi"/>
          <w:sz w:val="24"/>
          <w:szCs w:val="24"/>
        </w:rPr>
        <w:t xml:space="preserve">Monthly country and area detail is not available for goods on a BOP basis or for services. However, quarterly statistics on goods on a BOP basis and on services that </w:t>
      </w:r>
      <w:proofErr w:type="gramStart"/>
      <w:r w:rsidRPr="00A07FF1">
        <w:rPr>
          <w:rFonts w:cstheme="minorHAnsi"/>
          <w:sz w:val="24"/>
          <w:szCs w:val="24"/>
        </w:rPr>
        <w:t>are seasonally adjusted</w:t>
      </w:r>
      <w:proofErr w:type="gramEnd"/>
      <w:r w:rsidRPr="00A07FF1">
        <w:rPr>
          <w:rFonts w:cstheme="minorHAnsi"/>
          <w:sz w:val="24"/>
          <w:szCs w:val="24"/>
        </w:rPr>
        <w:t xml:space="preserve"> by geography are shown in Exhibit 20. Unlike the seasonal adjustments by commodity and by service type that </w:t>
      </w:r>
      <w:proofErr w:type="gramStart"/>
      <w:r w:rsidRPr="00A07FF1">
        <w:rPr>
          <w:rFonts w:cstheme="minorHAnsi"/>
          <w:sz w:val="24"/>
          <w:szCs w:val="24"/>
        </w:rPr>
        <w:t>are applied</w:t>
      </w:r>
      <w:proofErr w:type="gramEnd"/>
      <w:r w:rsidRPr="00A07FF1">
        <w:rPr>
          <w:rFonts w:cstheme="minorHAnsi"/>
          <w:sz w:val="24"/>
          <w:szCs w:val="24"/>
        </w:rPr>
        <w:t xml:space="preserve"> to the global totals, these adjustments are developed and applied directly at the country and world area levels. For total exports and imports, data users should refer to the by-commodity and by-service type totals shown in the other exhibits. The seasonally adjusted country and world area data will not sum to the seasonally adjusted by-commodity and by-service type totals because the two sets of statistics </w:t>
      </w:r>
      <w:proofErr w:type="gramStart"/>
      <w:r w:rsidRPr="00A07FF1">
        <w:rPr>
          <w:rFonts w:cstheme="minorHAnsi"/>
          <w:sz w:val="24"/>
          <w:szCs w:val="24"/>
        </w:rPr>
        <w:t>are derived</w:t>
      </w:r>
      <w:proofErr w:type="gramEnd"/>
      <w:r w:rsidRPr="00A07FF1">
        <w:rPr>
          <w:rFonts w:cstheme="minorHAnsi"/>
          <w:sz w:val="24"/>
          <w:szCs w:val="24"/>
        </w:rPr>
        <w:t xml:space="preserve"> from different aggregations of the export and import data and from different seasonal adjustment models. Data users should use </w:t>
      </w:r>
      <w:proofErr w:type="gramStart"/>
      <w:r w:rsidRPr="00A07FF1">
        <w:rPr>
          <w:rFonts w:cstheme="minorHAnsi"/>
          <w:sz w:val="24"/>
          <w:szCs w:val="24"/>
        </w:rPr>
        <w:t>caution drawing</w:t>
      </w:r>
      <w:proofErr w:type="gramEnd"/>
      <w:r w:rsidRPr="00A07FF1">
        <w:rPr>
          <w:rFonts w:cstheme="minorHAnsi"/>
          <w:sz w:val="24"/>
          <w:szCs w:val="24"/>
        </w:rPr>
        <w:t xml:space="preserve"> comparisons between the two sets of seasonally adjusted series.</w:t>
      </w:r>
    </w:p>
    <w:p w14:paraId="5AFA98AA" w14:textId="77777777" w:rsidR="001705DB" w:rsidRPr="00A07FF1" w:rsidRDefault="001705DB" w:rsidP="001705DB">
      <w:pPr>
        <w:spacing w:after="120"/>
        <w:ind w:left="-360"/>
        <w:rPr>
          <w:rFonts w:cstheme="minorHAnsi"/>
          <w:sz w:val="24"/>
          <w:szCs w:val="24"/>
        </w:rPr>
      </w:pPr>
      <w:r w:rsidRPr="00A07FF1">
        <w:rPr>
          <w:rFonts w:cstheme="minorHAnsi"/>
          <w:sz w:val="24"/>
          <w:szCs w:val="24"/>
        </w:rPr>
        <w:t xml:space="preserve">The definitions of the world areas shown in Exhibit 20 are consistent </w:t>
      </w:r>
      <w:proofErr w:type="gramStart"/>
      <w:r w:rsidRPr="00A07FF1">
        <w:rPr>
          <w:rFonts w:cstheme="minorHAnsi"/>
          <w:sz w:val="24"/>
          <w:szCs w:val="24"/>
        </w:rPr>
        <w:t xml:space="preserve">with the definitions for goods on a Census basis (see </w:t>
      </w:r>
      <w:r w:rsidRPr="00A07FF1">
        <w:rPr>
          <w:rFonts w:cstheme="minorHAnsi"/>
          <w:i/>
          <w:sz w:val="24"/>
          <w:szCs w:val="24"/>
        </w:rPr>
        <w:t xml:space="preserve">AREA GROUPINGS </w:t>
      </w:r>
      <w:r w:rsidRPr="00A07FF1">
        <w:rPr>
          <w:rFonts w:cstheme="minorHAnsi"/>
          <w:sz w:val="24"/>
          <w:szCs w:val="24"/>
        </w:rPr>
        <w:t>above) with a few exceptions</w:t>
      </w:r>
      <w:proofErr w:type="gramEnd"/>
      <w:r w:rsidRPr="00A07FF1">
        <w:rPr>
          <w:rFonts w:cstheme="minorHAnsi"/>
          <w:sz w:val="24"/>
          <w:szCs w:val="24"/>
        </w:rPr>
        <w:t xml:space="preserve">. For services, CAFTA-DR is not available because trade with this area’s member countries </w:t>
      </w:r>
      <w:proofErr w:type="gramStart"/>
      <w:r w:rsidRPr="00A07FF1">
        <w:rPr>
          <w:rFonts w:cstheme="minorHAnsi"/>
          <w:sz w:val="24"/>
          <w:szCs w:val="24"/>
        </w:rPr>
        <w:t>cannot be separately identified</w:t>
      </w:r>
      <w:proofErr w:type="gramEnd"/>
      <w:r w:rsidRPr="00A07FF1">
        <w:rPr>
          <w:rFonts w:cstheme="minorHAnsi"/>
          <w:sz w:val="24"/>
          <w:szCs w:val="24"/>
        </w:rPr>
        <w:t>. For goods on a BOP basis and for services, European Union and OPEC reflect the composition of the areas at the time of reporting.</w:t>
      </w:r>
    </w:p>
    <w:p w14:paraId="5ABFAA51" w14:textId="77777777" w:rsidR="001705DB" w:rsidRPr="00A07FF1" w:rsidRDefault="001705DB" w:rsidP="001705DB">
      <w:pPr>
        <w:spacing w:after="0"/>
        <w:ind w:left="-360"/>
        <w:rPr>
          <w:rFonts w:cstheme="minorHAnsi"/>
          <w:b/>
          <w:bCs/>
          <w:i/>
          <w:sz w:val="24"/>
          <w:szCs w:val="24"/>
        </w:rPr>
      </w:pPr>
      <w:r w:rsidRPr="00A07FF1">
        <w:rPr>
          <w:rFonts w:cstheme="minorHAnsi"/>
          <w:b/>
          <w:bCs/>
          <w:i/>
          <w:sz w:val="24"/>
          <w:szCs w:val="24"/>
        </w:rPr>
        <w:t>Revision Procedure (Goods on a BOP Basis and Services)</w:t>
      </w:r>
    </w:p>
    <w:p w14:paraId="05F5C93C"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lastRenderedPageBreak/>
        <w:t>Monthly Revisions</w:t>
      </w:r>
      <w:r w:rsidRPr="00A07FF1">
        <w:rPr>
          <w:rFonts w:cstheme="minorHAnsi"/>
          <w:bCs/>
          <w:sz w:val="24"/>
          <w:szCs w:val="24"/>
        </w:rPr>
        <w:t>:</w:t>
      </w:r>
      <w:r w:rsidRPr="00A07FF1">
        <w:rPr>
          <w:rFonts w:cstheme="minorHAnsi"/>
          <w:sz w:val="24"/>
          <w:szCs w:val="24"/>
        </w:rPr>
        <w:t xml:space="preserve"> Each month, a preliminary estimate for the current month and a revised estimate for the immediately preceding month </w:t>
      </w:r>
      <w:proofErr w:type="gramStart"/>
      <w:r w:rsidRPr="00A07FF1">
        <w:rPr>
          <w:rFonts w:cstheme="minorHAnsi"/>
          <w:sz w:val="24"/>
          <w:szCs w:val="24"/>
        </w:rPr>
        <w:t>are released</w:t>
      </w:r>
      <w:proofErr w:type="gramEnd"/>
      <w:r w:rsidRPr="00A07FF1">
        <w:rPr>
          <w:rFonts w:cstheme="minorHAnsi"/>
          <w:sz w:val="24"/>
          <w:szCs w:val="24"/>
        </w:rPr>
        <w:t xml:space="preserve">. After the initial revision, no further revisions </w:t>
      </w:r>
      <w:proofErr w:type="gramStart"/>
      <w:r w:rsidRPr="00A07FF1">
        <w:rPr>
          <w:rFonts w:cstheme="minorHAnsi"/>
          <w:sz w:val="24"/>
          <w:szCs w:val="24"/>
        </w:rPr>
        <w:t>are made</w:t>
      </w:r>
      <w:proofErr w:type="gramEnd"/>
      <w:r w:rsidRPr="00A07FF1">
        <w:rPr>
          <w:rFonts w:cstheme="minorHAnsi"/>
          <w:sz w:val="24"/>
          <w:szCs w:val="24"/>
        </w:rPr>
        <w:t xml:space="preserve"> to a month until more complete source data become available in March, June, September, and December.</w:t>
      </w:r>
    </w:p>
    <w:p w14:paraId="4135B42D" w14:textId="77777777" w:rsidR="001705DB" w:rsidRPr="00A07FF1" w:rsidRDefault="001705DB" w:rsidP="001705DB">
      <w:pPr>
        <w:spacing w:after="120"/>
        <w:ind w:left="-360"/>
        <w:rPr>
          <w:rFonts w:cstheme="minorHAnsi"/>
          <w:sz w:val="24"/>
          <w:szCs w:val="24"/>
        </w:rPr>
      </w:pPr>
      <w:r w:rsidRPr="00A07FF1">
        <w:rPr>
          <w:rFonts w:cstheme="minorHAnsi"/>
          <w:b/>
          <w:sz w:val="24"/>
          <w:szCs w:val="24"/>
        </w:rPr>
        <w:t>Quarterly Revisions</w:t>
      </w:r>
      <w:r w:rsidRPr="00A07FF1">
        <w:rPr>
          <w:rFonts w:cstheme="minorHAnsi"/>
          <w:sz w:val="24"/>
          <w:szCs w:val="24"/>
        </w:rPr>
        <w:t>: The releases in March, June, September, and December contain revised estimates for the previous six months to incorporate more comprehensive and updated source data.</w:t>
      </w:r>
    </w:p>
    <w:p w14:paraId="444DF0B9" w14:textId="77777777" w:rsidR="001705DB" w:rsidRPr="00A07FF1" w:rsidRDefault="001705DB" w:rsidP="001705DB">
      <w:pPr>
        <w:spacing w:after="120"/>
        <w:ind w:left="-360"/>
        <w:rPr>
          <w:rFonts w:cstheme="minorHAnsi"/>
          <w:sz w:val="24"/>
          <w:szCs w:val="24"/>
        </w:rPr>
      </w:pPr>
      <w:r w:rsidRPr="00A07FF1">
        <w:rPr>
          <w:rFonts w:cstheme="minorHAnsi"/>
          <w:b/>
          <w:sz w:val="24"/>
          <w:szCs w:val="24"/>
        </w:rPr>
        <w:t>Annual Revisions</w:t>
      </w:r>
      <w:r w:rsidRPr="00A07FF1">
        <w:rPr>
          <w:rFonts w:cstheme="minorHAnsi"/>
          <w:sz w:val="24"/>
          <w:szCs w:val="24"/>
        </w:rPr>
        <w:t xml:space="preserve">: Each June, historical data </w:t>
      </w:r>
      <w:proofErr w:type="gramStart"/>
      <w:r w:rsidRPr="00A07FF1">
        <w:rPr>
          <w:rFonts w:cstheme="minorHAnsi"/>
          <w:sz w:val="24"/>
          <w:szCs w:val="24"/>
        </w:rPr>
        <w:t>are revised</w:t>
      </w:r>
      <w:proofErr w:type="gramEnd"/>
      <w:r w:rsidRPr="00A07FF1">
        <w:rPr>
          <w:rFonts w:cstheme="minorHAnsi"/>
          <w:sz w:val="24"/>
          <w:szCs w:val="24"/>
        </w:rPr>
        <w:t xml:space="preserve"> to incorporate newly available and revised source data, changes in definitions and classifications, and changes in estimation methods. Seasonally adjusted data </w:t>
      </w:r>
      <w:proofErr w:type="gramStart"/>
      <w:r w:rsidRPr="00A07FF1">
        <w:rPr>
          <w:rFonts w:cstheme="minorHAnsi"/>
          <w:sz w:val="24"/>
          <w:szCs w:val="24"/>
        </w:rPr>
        <w:t>are also revised</w:t>
      </w:r>
      <w:proofErr w:type="gramEnd"/>
      <w:r w:rsidRPr="00A07FF1">
        <w:rPr>
          <w:rFonts w:cstheme="minorHAnsi"/>
          <w:sz w:val="24"/>
          <w:szCs w:val="24"/>
        </w:rPr>
        <w:t xml:space="preserve"> to reflect recalculated seasonal and trading-day adjustments.</w:t>
      </w:r>
    </w:p>
    <w:p w14:paraId="7D18C2E5" w14:textId="27F7A57A" w:rsidR="001705DB" w:rsidRPr="00A07FF1" w:rsidRDefault="001705DB" w:rsidP="001705DB">
      <w:pPr>
        <w:spacing w:after="120"/>
        <w:ind w:left="-360"/>
        <w:rPr>
          <w:rFonts w:cstheme="minorHAnsi"/>
          <w:sz w:val="24"/>
          <w:szCs w:val="24"/>
        </w:rPr>
      </w:pPr>
      <w:r w:rsidRPr="00A07FF1">
        <w:rPr>
          <w:rFonts w:cstheme="minorHAnsi"/>
          <w:b/>
          <w:sz w:val="24"/>
          <w:szCs w:val="24"/>
        </w:rPr>
        <w:t>Other Revisions</w:t>
      </w:r>
      <w:r w:rsidRPr="00A07FF1">
        <w:rPr>
          <w:rFonts w:cstheme="minorHAnsi"/>
          <w:sz w:val="24"/>
          <w:szCs w:val="24"/>
        </w:rPr>
        <w:t xml:space="preserve">: </w:t>
      </w:r>
      <w:r w:rsidR="00672A9F" w:rsidRPr="00672A9F">
        <w:rPr>
          <w:rFonts w:cstheme="minorHAnsi"/>
          <w:sz w:val="24"/>
          <w:szCs w:val="24"/>
        </w:rPr>
        <w:t>The release for December statistical month contains revisions to goods for January through November of the most recent year; the release for January statistical month contains revisions to both goods and services for all months of the most recent year. These revisions result from forcing the seasonally adjusted months to equal the annual totals.</w:t>
      </w:r>
    </w:p>
    <w:p w14:paraId="39F9B54A" w14:textId="77777777" w:rsidR="001705DB" w:rsidRPr="00A07FF1" w:rsidRDefault="001705DB" w:rsidP="001705DB">
      <w:pPr>
        <w:spacing w:after="0"/>
        <w:ind w:left="-360"/>
        <w:rPr>
          <w:rFonts w:cstheme="minorHAnsi"/>
          <w:b/>
          <w:sz w:val="24"/>
          <w:szCs w:val="24"/>
        </w:rPr>
      </w:pPr>
      <w:r w:rsidRPr="00A07FF1">
        <w:rPr>
          <w:rFonts w:cstheme="minorHAnsi"/>
          <w:b/>
          <w:sz w:val="24"/>
          <w:szCs w:val="24"/>
        </w:rPr>
        <w:t>Data Availability</w:t>
      </w:r>
    </w:p>
    <w:p w14:paraId="3BACB984" w14:textId="11F47A5A" w:rsidR="001705DB" w:rsidRPr="00A07FF1" w:rsidRDefault="00672A9F" w:rsidP="001705DB">
      <w:pPr>
        <w:spacing w:after="120"/>
        <w:ind w:left="-360"/>
        <w:rPr>
          <w:rFonts w:cstheme="minorHAnsi"/>
          <w:sz w:val="24"/>
          <w:szCs w:val="24"/>
        </w:rPr>
      </w:pPr>
      <w:r w:rsidRPr="00672A9F">
        <w:rPr>
          <w:rFonts w:cstheme="minorHAnsi"/>
          <w:sz w:val="24"/>
          <w:szCs w:val="24"/>
        </w:rPr>
        <w:t xml:space="preserve">The FT-900 and the FT-900 Supplement are available at </w:t>
      </w:r>
      <w:hyperlink r:id="rId36" w:history="1">
        <w:r w:rsidR="001705DB" w:rsidRPr="00A07FF1">
          <w:rPr>
            <w:rStyle w:val="Hyperlink"/>
            <w:rFonts w:cstheme="minorHAnsi"/>
            <w:sz w:val="24"/>
            <w:szCs w:val="24"/>
          </w:rPr>
          <w:t>www.census.gov/ft900</w:t>
        </w:r>
      </w:hyperlink>
      <w:r w:rsidR="001705DB" w:rsidRPr="00A07FF1">
        <w:rPr>
          <w:rFonts w:cstheme="minorHAnsi"/>
          <w:sz w:val="24"/>
          <w:szCs w:val="24"/>
        </w:rPr>
        <w:t xml:space="preserve"> or </w:t>
      </w:r>
      <w:hyperlink r:id="rId37" w:history="1">
        <w:r w:rsidR="000A4878" w:rsidRPr="00A07FF1">
          <w:rPr>
            <w:rStyle w:val="Hyperlink"/>
            <w:rFonts w:cstheme="minorHAnsi"/>
            <w:sz w:val="24"/>
            <w:szCs w:val="24"/>
          </w:rPr>
          <w:t>www.bea.gov/data/intl-trade-investment/international-trade-goods-and-services</w:t>
        </w:r>
      </w:hyperlink>
      <w:r w:rsidR="002E30E6" w:rsidRPr="00A07FF1">
        <w:rPr>
          <w:rStyle w:val="Hyperlink"/>
          <w:rFonts w:cstheme="minorHAnsi"/>
          <w:sz w:val="24"/>
          <w:szCs w:val="24"/>
          <w:u w:val="none"/>
        </w:rPr>
        <w:t>.</w:t>
      </w:r>
    </w:p>
    <w:p w14:paraId="368A03BD" w14:textId="65834F6D" w:rsidR="00713F17" w:rsidRPr="00A07FF1" w:rsidRDefault="00713F17" w:rsidP="00713F17">
      <w:pPr>
        <w:spacing w:after="0"/>
        <w:ind w:left="-360"/>
        <w:rPr>
          <w:rFonts w:cstheme="minorHAnsi"/>
          <w:b/>
          <w:bCs/>
          <w:i/>
          <w:iCs/>
          <w:sz w:val="24"/>
          <w:szCs w:val="24"/>
        </w:rPr>
      </w:pPr>
      <w:r w:rsidRPr="00A07FF1">
        <w:rPr>
          <w:rFonts w:cstheme="minorHAnsi"/>
          <w:b/>
          <w:bCs/>
          <w:i/>
          <w:iCs/>
          <w:sz w:val="24"/>
          <w:szCs w:val="24"/>
        </w:rPr>
        <w:t>Resources</w:t>
      </w:r>
    </w:p>
    <w:p w14:paraId="6C55CA6D" w14:textId="2ED69EFD" w:rsidR="001705DB" w:rsidRPr="00A07FF1" w:rsidRDefault="001705DB" w:rsidP="001705DB">
      <w:pPr>
        <w:spacing w:after="120"/>
        <w:ind w:left="-360"/>
        <w:rPr>
          <w:rFonts w:cstheme="minorHAnsi"/>
          <w:sz w:val="24"/>
          <w:szCs w:val="24"/>
        </w:rPr>
      </w:pPr>
      <w:r w:rsidRPr="00A07FF1">
        <w:rPr>
          <w:rFonts w:cstheme="minorHAnsi"/>
          <w:b/>
          <w:sz w:val="24"/>
          <w:szCs w:val="24"/>
        </w:rPr>
        <w:t>Census Bureau’s Application Programming Interface (API)</w:t>
      </w:r>
      <w:r w:rsidRPr="00A07FF1">
        <w:rPr>
          <w:rFonts w:cstheme="minorHAnsi"/>
          <w:sz w:val="24"/>
          <w:szCs w:val="24"/>
        </w:rPr>
        <w:t xml:space="preserve">: The Census </w:t>
      </w:r>
      <w:proofErr w:type="gramStart"/>
      <w:r w:rsidRPr="00A07FF1">
        <w:rPr>
          <w:rFonts w:cstheme="minorHAnsi"/>
          <w:sz w:val="24"/>
          <w:szCs w:val="24"/>
        </w:rPr>
        <w:t>Bureau’s</w:t>
      </w:r>
      <w:proofErr w:type="gramEnd"/>
      <w:r w:rsidRPr="00A07FF1">
        <w:rPr>
          <w:rFonts w:cstheme="minorHAnsi"/>
          <w:b/>
          <w:sz w:val="24"/>
          <w:szCs w:val="24"/>
        </w:rPr>
        <w:t xml:space="preserve"> </w:t>
      </w:r>
      <w:r w:rsidRPr="00A07FF1">
        <w:rPr>
          <w:rFonts w:cstheme="minorHAnsi"/>
          <w:sz w:val="24"/>
          <w:szCs w:val="24"/>
        </w:rPr>
        <w:t xml:space="preserve">API, available at </w:t>
      </w:r>
      <w:hyperlink r:id="rId38" w:history="1">
        <w:r w:rsidRPr="00A07FF1">
          <w:rPr>
            <w:rStyle w:val="Hyperlink"/>
            <w:rFonts w:cstheme="minorHAnsi"/>
            <w:sz w:val="24"/>
            <w:szCs w:val="24"/>
          </w:rPr>
          <w:t>www.census.gov/developers/</w:t>
        </w:r>
      </w:hyperlink>
      <w:r w:rsidRPr="00A07FF1">
        <w:rPr>
          <w:rFonts w:cstheme="minorHAnsi"/>
          <w:sz w:val="24"/>
          <w:szCs w:val="24"/>
        </w:rPr>
        <w:t>, lets developers create custom apps to reach new users and makes key demographic, socio-economic, and housing statistics more accessible than ever before.</w:t>
      </w:r>
    </w:p>
    <w:p w14:paraId="70CD33FA" w14:textId="62BA03F9" w:rsidR="001705DB" w:rsidRPr="00A07FF1" w:rsidRDefault="001705DB" w:rsidP="00A54FA6">
      <w:pPr>
        <w:spacing w:after="120"/>
        <w:ind w:left="-360"/>
        <w:rPr>
          <w:rFonts w:cstheme="minorHAnsi"/>
          <w:sz w:val="24"/>
          <w:szCs w:val="24"/>
        </w:rPr>
      </w:pPr>
      <w:r w:rsidRPr="00A07FF1">
        <w:rPr>
          <w:rFonts w:cstheme="minorHAnsi"/>
          <w:b/>
          <w:sz w:val="24"/>
          <w:szCs w:val="24"/>
        </w:rPr>
        <w:t>BEA’s Data API</w:t>
      </w:r>
      <w:r w:rsidRPr="00A07FF1">
        <w:rPr>
          <w:rFonts w:cstheme="minorHAnsi"/>
          <w:sz w:val="24"/>
          <w:szCs w:val="24"/>
        </w:rPr>
        <w:t xml:space="preserve">: BEA’s data API, available at </w:t>
      </w:r>
      <w:hyperlink r:id="rId39" w:history="1">
        <w:r w:rsidR="00C17E24" w:rsidRPr="00A07FF1">
          <w:rPr>
            <w:rStyle w:val="Hyperlink"/>
            <w:rFonts w:cstheme="minorHAnsi"/>
            <w:sz w:val="24"/>
            <w:szCs w:val="24"/>
          </w:rPr>
          <w:t>apps.bea.gov/API/signup/</w:t>
        </w:r>
        <w:proofErr w:type="spellStart"/>
        <w:r w:rsidR="00C17E24" w:rsidRPr="00A07FF1">
          <w:rPr>
            <w:rStyle w:val="Hyperlink"/>
            <w:rFonts w:cstheme="minorHAnsi"/>
            <w:sz w:val="24"/>
            <w:szCs w:val="24"/>
          </w:rPr>
          <w:t>index.cfm</w:t>
        </w:r>
        <w:proofErr w:type="spellEnd"/>
      </w:hyperlink>
      <w:r w:rsidRPr="00A07FF1">
        <w:rPr>
          <w:rFonts w:cstheme="minorHAnsi"/>
          <w:sz w:val="24"/>
          <w:szCs w:val="24"/>
        </w:rPr>
        <w:t xml:space="preserve">, provides programmatic access to </w:t>
      </w:r>
      <w:proofErr w:type="gramStart"/>
      <w:r w:rsidRPr="00A07FF1">
        <w:rPr>
          <w:rFonts w:cstheme="minorHAnsi"/>
          <w:sz w:val="24"/>
          <w:szCs w:val="24"/>
        </w:rPr>
        <w:t>BEA’s</w:t>
      </w:r>
      <w:proofErr w:type="gramEnd"/>
      <w:r w:rsidRPr="00A07FF1">
        <w:rPr>
          <w:rFonts w:cstheme="minorHAnsi"/>
          <w:sz w:val="24"/>
          <w:szCs w:val="24"/>
        </w:rPr>
        <w:t xml:space="preserve"> published economic statistics using industry-standard methods and procedures.</w:t>
      </w:r>
    </w:p>
    <w:p w14:paraId="59172896" w14:textId="5EFC8DF8" w:rsidR="00713F17" w:rsidRPr="00A07FF1" w:rsidRDefault="00713F17" w:rsidP="00713F17">
      <w:pPr>
        <w:spacing w:after="0"/>
        <w:ind w:left="-360"/>
        <w:rPr>
          <w:rFonts w:cstheme="minorHAnsi"/>
          <w:b/>
          <w:sz w:val="24"/>
          <w:szCs w:val="24"/>
        </w:rPr>
      </w:pPr>
      <w:r w:rsidRPr="00A07FF1">
        <w:rPr>
          <w:rFonts w:cstheme="minorHAnsi"/>
          <w:b/>
          <w:sz w:val="24"/>
          <w:szCs w:val="24"/>
        </w:rPr>
        <w:t>FRED Mobile App</w:t>
      </w:r>
    </w:p>
    <w:p w14:paraId="687CE1A6" w14:textId="3739CD40" w:rsidR="00713F17" w:rsidRPr="00A07FF1" w:rsidRDefault="00713F17" w:rsidP="00713F17">
      <w:pPr>
        <w:spacing w:after="0"/>
        <w:ind w:left="-360"/>
        <w:rPr>
          <w:rFonts w:cstheme="minorHAnsi"/>
          <w:sz w:val="24"/>
          <w:szCs w:val="24"/>
        </w:rPr>
      </w:pPr>
      <w:r w:rsidRPr="00A07FF1">
        <w:rPr>
          <w:rFonts w:cstheme="minorHAnsi"/>
          <w:noProof/>
          <w:sz w:val="24"/>
          <w:szCs w:val="24"/>
        </w:rPr>
        <w:drawing>
          <wp:anchor distT="0" distB="0" distL="114300" distR="114300" simplePos="0" relativeHeight="251662336" behindDoc="0" locked="0" layoutInCell="1" allowOverlap="1" wp14:anchorId="19E9915F" wp14:editId="307AAADA">
            <wp:simplePos x="0" y="0"/>
            <wp:positionH relativeFrom="column">
              <wp:posOffset>-238125</wp:posOffset>
            </wp:positionH>
            <wp:positionV relativeFrom="paragraph">
              <wp:posOffset>163195</wp:posOffset>
            </wp:positionV>
            <wp:extent cx="1330325" cy="447675"/>
            <wp:effectExtent l="0" t="0" r="3175" b="9525"/>
            <wp:wrapSquare wrapText="bothSides"/>
            <wp:docPr id="2" name="Picture 2" descr="C:\Users\rebur001\AppData\Local\Temp\wz1d64\F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bur001\AppData\Local\Temp\wz1d64\FRED.jpg"/>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33032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FF1">
        <w:rPr>
          <w:rFonts w:cstheme="minorHAnsi"/>
          <w:sz w:val="24"/>
          <w:szCs w:val="24"/>
        </w:rPr>
        <w:t>Receive the latest updates on the nation’s key economic indicators by downloading the FRED App &lt;</w:t>
      </w:r>
      <w:hyperlink r:id="rId41" w:history="1">
        <w:r w:rsidRPr="00A07FF1">
          <w:rPr>
            <w:rStyle w:val="Hyperlink"/>
            <w:rFonts w:cstheme="minorHAnsi"/>
            <w:sz w:val="24"/>
            <w:szCs w:val="24"/>
          </w:rPr>
          <w:t>https://fred.stlouisfed.org/fred-mobile/</w:t>
        </w:r>
      </w:hyperlink>
      <w:r w:rsidRPr="00A07FF1">
        <w:rPr>
          <w:rFonts w:cstheme="minorHAnsi"/>
          <w:sz w:val="24"/>
          <w:szCs w:val="24"/>
        </w:rPr>
        <w:t>&gt; for b</w:t>
      </w:r>
      <w:r w:rsidR="004E599A" w:rsidRPr="00A07FF1">
        <w:rPr>
          <w:rFonts w:cstheme="minorHAnsi"/>
          <w:sz w:val="24"/>
          <w:szCs w:val="24"/>
        </w:rPr>
        <w:t xml:space="preserve">oth Apple and Android devices. </w:t>
      </w:r>
      <w:r w:rsidRPr="00A07FF1">
        <w:rPr>
          <w:rFonts w:cstheme="minorHAnsi"/>
          <w:sz w:val="24"/>
          <w:szCs w:val="24"/>
        </w:rPr>
        <w:t>FRED, the signature database of the Federal Reserve Bank of St. Louis, now incorporates the Census Bureau’s 13 economic indicators.</w:t>
      </w:r>
    </w:p>
    <w:p w14:paraId="14EE13A8" w14:textId="77777777" w:rsidR="001705DB" w:rsidRPr="00A07FF1" w:rsidRDefault="001705DB" w:rsidP="001705DB">
      <w:pPr>
        <w:spacing w:after="0"/>
        <w:ind w:left="-360"/>
        <w:rPr>
          <w:rFonts w:cstheme="minorHAnsi"/>
          <w:sz w:val="24"/>
          <w:szCs w:val="24"/>
        </w:rPr>
      </w:pPr>
    </w:p>
    <w:p w14:paraId="66887099" w14:textId="3E947B69" w:rsidR="00442812" w:rsidRPr="00A07FF1" w:rsidRDefault="00BB347F" w:rsidP="00F332EC">
      <w:pPr>
        <w:ind w:left="-360"/>
        <w:rPr>
          <w:rFonts w:cstheme="minorHAnsi"/>
          <w:b/>
          <w:sz w:val="34"/>
          <w:szCs w:val="34"/>
        </w:rPr>
      </w:pPr>
      <w:r w:rsidRPr="00A07FF1">
        <w:rPr>
          <w:rFonts w:cstheme="minorHAnsi"/>
          <w:sz w:val="24"/>
          <w:szCs w:val="24"/>
        </w:rPr>
        <w:br w:type="page"/>
      </w:r>
      <w:r w:rsidR="003C7D75" w:rsidRPr="00A07FF1">
        <w:rPr>
          <w:rFonts w:cstheme="minorHAnsi"/>
          <w:b/>
          <w:sz w:val="34"/>
          <w:szCs w:val="34"/>
        </w:rPr>
        <w:lastRenderedPageBreak/>
        <w:t>List of News Release Exhibits</w:t>
      </w:r>
    </w:p>
    <w:p w14:paraId="682722B5" w14:textId="77777777" w:rsidR="001964EE" w:rsidRPr="00A07FF1" w:rsidRDefault="001964EE" w:rsidP="001172C9">
      <w:pPr>
        <w:spacing w:after="120"/>
        <w:ind w:left="-360"/>
        <w:rPr>
          <w:rFonts w:cstheme="minorHAnsi"/>
          <w:b/>
          <w:szCs w:val="16"/>
          <w:u w:val="single"/>
        </w:rPr>
      </w:pPr>
      <w:r w:rsidRPr="00A07FF1">
        <w:rPr>
          <w:rFonts w:cstheme="minorHAnsi"/>
          <w:b/>
          <w:szCs w:val="16"/>
          <w:u w:val="single"/>
        </w:rPr>
        <w:t>Part A: Seasonally Adjusted (by Commodity/Service)</w:t>
      </w:r>
    </w:p>
    <w:p w14:paraId="406B5EFB" w14:textId="103F6CB7" w:rsidR="001964EE" w:rsidRPr="00A07FF1" w:rsidRDefault="00105DB6" w:rsidP="001172C9">
      <w:pPr>
        <w:spacing w:after="0"/>
        <w:ind w:left="-360"/>
        <w:rPr>
          <w:rFonts w:cstheme="minorHAnsi"/>
          <w:szCs w:val="16"/>
        </w:rPr>
      </w:pPr>
      <w:r w:rsidRPr="00A07FF1">
        <w:rPr>
          <w:rFonts w:cstheme="minorHAnsi"/>
          <w:szCs w:val="16"/>
        </w:rPr>
        <w:t>Exhibit</w:t>
      </w:r>
      <w:r w:rsidR="001964EE" w:rsidRPr="00A07FF1">
        <w:rPr>
          <w:rFonts w:cstheme="minorHAnsi"/>
          <w:szCs w:val="16"/>
        </w:rPr>
        <w:t xml:space="preserve"> 1. U.S. Internationa</w:t>
      </w:r>
      <w:r w:rsidR="00442812" w:rsidRPr="00A07FF1">
        <w:rPr>
          <w:rFonts w:cstheme="minorHAnsi"/>
          <w:szCs w:val="16"/>
        </w:rPr>
        <w:t>l Trade in Goods and Services</w:t>
      </w:r>
    </w:p>
    <w:p w14:paraId="7227AC3B" w14:textId="2989A1A8" w:rsidR="001964EE" w:rsidRPr="00A07FF1" w:rsidRDefault="00105DB6" w:rsidP="001172C9">
      <w:pPr>
        <w:spacing w:after="0"/>
        <w:ind w:left="-360"/>
        <w:rPr>
          <w:rFonts w:cstheme="minorHAnsi"/>
          <w:szCs w:val="16"/>
        </w:rPr>
      </w:pPr>
      <w:r w:rsidRPr="00A07FF1">
        <w:rPr>
          <w:rFonts w:cstheme="minorHAnsi"/>
          <w:szCs w:val="16"/>
        </w:rPr>
        <w:t>Exhibit</w:t>
      </w:r>
      <w:r w:rsidR="001964EE" w:rsidRPr="00A07FF1">
        <w:rPr>
          <w:rFonts w:cstheme="minorHAnsi"/>
          <w:szCs w:val="16"/>
        </w:rPr>
        <w:t xml:space="preserve"> 2. U.S. International Trade in Goods and Service</w:t>
      </w:r>
      <w:r w:rsidR="00442812" w:rsidRPr="00A07FF1">
        <w:rPr>
          <w:rFonts w:cstheme="minorHAnsi"/>
          <w:szCs w:val="16"/>
        </w:rPr>
        <w:t>s Three-Month Moving Averages</w:t>
      </w:r>
    </w:p>
    <w:p w14:paraId="77074698" w14:textId="5562C424"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3. U.S. Exports</w:t>
      </w:r>
      <w:r w:rsidR="00442812" w:rsidRPr="00A07FF1">
        <w:rPr>
          <w:rFonts w:cstheme="minorHAnsi"/>
          <w:szCs w:val="16"/>
        </w:rPr>
        <w:t xml:space="preserve"> of Services by Major Category</w:t>
      </w:r>
      <w:r w:rsidR="00442812" w:rsidRPr="00A07FF1">
        <w:rPr>
          <w:rFonts w:cstheme="minorHAnsi"/>
          <w:szCs w:val="16"/>
        </w:rPr>
        <w:tab/>
      </w:r>
    </w:p>
    <w:p w14:paraId="6D2C3C76" w14:textId="43A485D6"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 xml:space="preserve">4. U.S. Imports </w:t>
      </w:r>
      <w:r w:rsidR="00442812" w:rsidRPr="00A07FF1">
        <w:rPr>
          <w:rFonts w:cstheme="minorHAnsi"/>
          <w:szCs w:val="16"/>
        </w:rPr>
        <w:t xml:space="preserve">of Services by Major Category </w:t>
      </w:r>
    </w:p>
    <w:p w14:paraId="551875D3" w14:textId="54D0B14F"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5. U</w:t>
      </w:r>
      <w:r w:rsidR="00442812" w:rsidRPr="00A07FF1">
        <w:rPr>
          <w:rFonts w:cstheme="minorHAnsi"/>
          <w:szCs w:val="16"/>
        </w:rPr>
        <w:t>.S. Trade in Goods</w:t>
      </w:r>
    </w:p>
    <w:p w14:paraId="266CFC57" w14:textId="5BB9F40D"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 xml:space="preserve">6. U.S. Trade in Goods </w:t>
      </w:r>
      <w:r w:rsidR="00442812" w:rsidRPr="00A07FF1">
        <w:rPr>
          <w:rFonts w:cstheme="minorHAnsi"/>
          <w:szCs w:val="16"/>
        </w:rPr>
        <w:t>by Principal End-Use Category</w:t>
      </w:r>
    </w:p>
    <w:p w14:paraId="3E196388" w14:textId="7583A639"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7. U.S. Exports of Goods by E</w:t>
      </w:r>
      <w:r w:rsidR="00442812" w:rsidRPr="00A07FF1">
        <w:rPr>
          <w:rFonts w:cstheme="minorHAnsi"/>
          <w:szCs w:val="16"/>
        </w:rPr>
        <w:t>nd-Use Category and Commodity</w:t>
      </w:r>
    </w:p>
    <w:p w14:paraId="6F0C2EA5" w14:textId="5F91562B"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8. U.S. Imports of Goods by E</w:t>
      </w:r>
      <w:r w:rsidR="00442812" w:rsidRPr="00A07FF1">
        <w:rPr>
          <w:rFonts w:cstheme="minorHAnsi"/>
          <w:szCs w:val="16"/>
        </w:rPr>
        <w:t>nd-Use Category and Commodity</w:t>
      </w:r>
    </w:p>
    <w:p w14:paraId="416672C4" w14:textId="5D09DCCB"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9. U.S. Trade in Petroleum and Non-P</w:t>
      </w:r>
      <w:r w:rsidR="00442812" w:rsidRPr="00A07FF1">
        <w:rPr>
          <w:rFonts w:cstheme="minorHAnsi"/>
          <w:szCs w:val="16"/>
        </w:rPr>
        <w:t>etroleum Products by End-Use</w:t>
      </w:r>
    </w:p>
    <w:p w14:paraId="484F24D7" w14:textId="70576E57"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10. Real U.S. Trade in Goods by Principal End-Use Category – Chained (20</w:t>
      </w:r>
      <w:r w:rsidR="00323FBE" w:rsidRPr="00A07FF1">
        <w:rPr>
          <w:rFonts w:cstheme="minorHAnsi"/>
          <w:szCs w:val="16"/>
        </w:rPr>
        <w:t>12</w:t>
      </w:r>
      <w:r w:rsidR="001964EE" w:rsidRPr="00A07FF1">
        <w:rPr>
          <w:rFonts w:cstheme="minorHAnsi"/>
          <w:szCs w:val="16"/>
        </w:rPr>
        <w:t>) Dollars</w:t>
      </w:r>
    </w:p>
    <w:p w14:paraId="1F451F34" w14:textId="673A736C" w:rsidR="001964EE" w:rsidRPr="00A07FF1" w:rsidRDefault="00105DB6" w:rsidP="001172C9">
      <w:pPr>
        <w:spacing w:after="120"/>
        <w:ind w:left="-360"/>
        <w:rPr>
          <w:rFonts w:cstheme="minorHAnsi"/>
          <w:szCs w:val="16"/>
        </w:rPr>
      </w:pPr>
      <w:r w:rsidRPr="00A07FF1">
        <w:rPr>
          <w:rFonts w:cstheme="minorHAnsi"/>
          <w:szCs w:val="16"/>
        </w:rPr>
        <w:t xml:space="preserve">Exhibit </w:t>
      </w:r>
      <w:r w:rsidR="001964EE" w:rsidRPr="00A07FF1">
        <w:rPr>
          <w:rFonts w:cstheme="minorHAnsi"/>
          <w:szCs w:val="16"/>
        </w:rPr>
        <w:t>11. Real U.S. Trade in Petroleum and Non-Petroleum Products by End-Use – Chained (20</w:t>
      </w:r>
      <w:r w:rsidR="00323FBE" w:rsidRPr="00A07FF1">
        <w:rPr>
          <w:rFonts w:cstheme="minorHAnsi"/>
          <w:szCs w:val="16"/>
        </w:rPr>
        <w:t>12</w:t>
      </w:r>
      <w:r w:rsidR="001964EE" w:rsidRPr="00A07FF1">
        <w:rPr>
          <w:rFonts w:cstheme="minorHAnsi"/>
          <w:szCs w:val="16"/>
        </w:rPr>
        <w:t>) Dollars</w:t>
      </w:r>
    </w:p>
    <w:p w14:paraId="39CAD23A" w14:textId="77777777" w:rsidR="001964EE" w:rsidRPr="00A07FF1" w:rsidRDefault="001964EE" w:rsidP="001172C9">
      <w:pPr>
        <w:spacing w:after="120"/>
        <w:ind w:left="-360"/>
        <w:rPr>
          <w:rFonts w:cstheme="minorHAnsi"/>
          <w:b/>
          <w:szCs w:val="16"/>
          <w:u w:val="single"/>
        </w:rPr>
      </w:pPr>
      <w:r w:rsidRPr="00A07FF1">
        <w:rPr>
          <w:rFonts w:cstheme="minorHAnsi"/>
          <w:b/>
          <w:szCs w:val="16"/>
          <w:u w:val="single"/>
        </w:rPr>
        <w:t>Part B: Not Seasonally Adjusted</w:t>
      </w:r>
    </w:p>
    <w:p w14:paraId="34EFC7B9" w14:textId="68A84D39"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 xml:space="preserve">12. </w:t>
      </w:r>
      <w:r w:rsidR="00442812" w:rsidRPr="00A07FF1">
        <w:rPr>
          <w:rFonts w:cstheme="minorHAnsi"/>
          <w:szCs w:val="16"/>
        </w:rPr>
        <w:t>U.S. Trade in Goods</w:t>
      </w:r>
    </w:p>
    <w:p w14:paraId="6DCDD713" w14:textId="568DB608"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13. U.S. Trade in Goods b</w:t>
      </w:r>
      <w:r w:rsidR="00442812" w:rsidRPr="00A07FF1">
        <w:rPr>
          <w:rFonts w:cstheme="minorHAnsi"/>
          <w:szCs w:val="16"/>
        </w:rPr>
        <w:t>y Principal End-Use Category</w:t>
      </w:r>
    </w:p>
    <w:p w14:paraId="0CC0F010" w14:textId="241BF267" w:rsidR="001964EE" w:rsidRPr="00A07FF1" w:rsidRDefault="007D6D0D" w:rsidP="001172C9">
      <w:pPr>
        <w:spacing w:after="0"/>
        <w:ind w:left="-360"/>
        <w:rPr>
          <w:rFonts w:cstheme="minorHAnsi"/>
          <w:szCs w:val="16"/>
        </w:rPr>
      </w:pPr>
      <w:r w:rsidRPr="007D6D0D">
        <w:rPr>
          <w:rFonts w:cstheme="minorHAnsi"/>
          <w:szCs w:val="16"/>
        </w:rPr>
        <w:t>Exhibit 14. U.S. Trade in Goods by Selected Countries and Areas</w:t>
      </w:r>
      <w:r w:rsidRPr="007D6D0D">
        <w:rPr>
          <w:rFonts w:cstheme="minorHAnsi"/>
        </w:rPr>
        <w:t xml:space="preserve">: </w:t>
      </w:r>
      <w:r w:rsidRPr="007D6D0D">
        <w:rPr>
          <w:rFonts w:cstheme="minorHAnsi"/>
          <w:szCs w:val="16"/>
        </w:rPr>
        <w:t>2019</w:t>
      </w:r>
    </w:p>
    <w:p w14:paraId="60C6488A" w14:textId="52803151" w:rsidR="001964EE" w:rsidRPr="00A07FF1" w:rsidRDefault="007D6D0D" w:rsidP="001172C9">
      <w:pPr>
        <w:spacing w:after="0"/>
        <w:ind w:left="-360"/>
        <w:rPr>
          <w:rFonts w:cstheme="minorHAnsi"/>
          <w:szCs w:val="16"/>
        </w:rPr>
      </w:pPr>
      <w:r w:rsidRPr="006E0721">
        <w:rPr>
          <w:rFonts w:cstheme="minorHAnsi"/>
          <w:bCs/>
          <w:szCs w:val="16"/>
        </w:rPr>
        <w:t>Exhibit 14a. U.S. Trade</w:t>
      </w:r>
      <w:r w:rsidRPr="007D6D0D">
        <w:rPr>
          <w:rFonts w:cstheme="minorHAnsi"/>
          <w:b/>
          <w:bCs/>
          <w:szCs w:val="16"/>
        </w:rPr>
        <w:t xml:space="preserve"> </w:t>
      </w:r>
      <w:r>
        <w:t>in Goods by Selected Countries and Areas: 2018</w:t>
      </w:r>
    </w:p>
    <w:p w14:paraId="31D9AED9" w14:textId="02E27395"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15. U.S. Trade in Go</w:t>
      </w:r>
      <w:r w:rsidR="00442812" w:rsidRPr="00A07FF1">
        <w:rPr>
          <w:rFonts w:cstheme="minorHAnsi"/>
          <w:szCs w:val="16"/>
        </w:rPr>
        <w:t>ods by Principal Commodities</w:t>
      </w:r>
    </w:p>
    <w:p w14:paraId="07159713" w14:textId="185B8D20"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16. U.S. Trade in</w:t>
      </w:r>
      <w:r w:rsidR="00442812" w:rsidRPr="00A07FF1">
        <w:rPr>
          <w:rFonts w:cstheme="minorHAnsi"/>
          <w:szCs w:val="16"/>
        </w:rPr>
        <w:t xml:space="preserve"> Advanced Technology Products</w:t>
      </w:r>
      <w:r w:rsidR="00442812" w:rsidRPr="00A07FF1">
        <w:rPr>
          <w:rFonts w:cstheme="minorHAnsi"/>
          <w:szCs w:val="16"/>
        </w:rPr>
        <w:tab/>
      </w:r>
    </w:p>
    <w:p w14:paraId="65AA806C" w14:textId="59BEE4E3"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16a. U.S. Trade in Advanced Technology Products by Technology Group and Selected Countries and Areas</w:t>
      </w:r>
    </w:p>
    <w:p w14:paraId="590D8972" w14:textId="4EC79185"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17. U.S. Imports of Energy-Related Petroleum P</w:t>
      </w:r>
      <w:r w:rsidR="00442812" w:rsidRPr="00A07FF1">
        <w:rPr>
          <w:rFonts w:cstheme="minorHAnsi"/>
          <w:szCs w:val="16"/>
        </w:rPr>
        <w:t>roducts, Including Crude Oil</w:t>
      </w:r>
    </w:p>
    <w:p w14:paraId="775ECEED" w14:textId="2F17770C"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17a. U.S. Imports of Cr</w:t>
      </w:r>
      <w:r w:rsidR="00442812" w:rsidRPr="00A07FF1">
        <w:rPr>
          <w:rFonts w:cstheme="minorHAnsi"/>
          <w:szCs w:val="16"/>
        </w:rPr>
        <w:t>ude Oil by Selected Countries</w:t>
      </w:r>
    </w:p>
    <w:p w14:paraId="0B354540" w14:textId="2FF2DEC7" w:rsidR="001964EE" w:rsidRPr="00A07FF1" w:rsidRDefault="00105DB6" w:rsidP="001172C9">
      <w:pPr>
        <w:spacing w:after="120"/>
        <w:ind w:left="-360"/>
        <w:rPr>
          <w:rFonts w:cstheme="minorHAnsi"/>
          <w:szCs w:val="16"/>
        </w:rPr>
      </w:pPr>
      <w:r w:rsidRPr="00A07FF1">
        <w:rPr>
          <w:rFonts w:cstheme="minorHAnsi"/>
          <w:szCs w:val="16"/>
        </w:rPr>
        <w:t xml:space="preserve">Exhibit </w:t>
      </w:r>
      <w:r w:rsidR="001964EE" w:rsidRPr="00A07FF1">
        <w:rPr>
          <w:rFonts w:cstheme="minorHAnsi"/>
          <w:szCs w:val="16"/>
        </w:rPr>
        <w:t>18. U.S. Trade in Motor Vehicles an</w:t>
      </w:r>
      <w:r w:rsidR="00442812" w:rsidRPr="00A07FF1">
        <w:rPr>
          <w:rFonts w:cstheme="minorHAnsi"/>
          <w:szCs w:val="16"/>
        </w:rPr>
        <w:t>d Parts by Selected Countries</w:t>
      </w:r>
    </w:p>
    <w:p w14:paraId="15AE5223" w14:textId="77777777" w:rsidR="001964EE" w:rsidRPr="00A07FF1" w:rsidRDefault="001964EE" w:rsidP="001172C9">
      <w:pPr>
        <w:spacing w:after="120"/>
        <w:ind w:left="-360"/>
        <w:rPr>
          <w:rFonts w:cstheme="minorHAnsi"/>
          <w:b/>
          <w:szCs w:val="16"/>
          <w:u w:val="single"/>
        </w:rPr>
      </w:pPr>
      <w:r w:rsidRPr="00A07FF1">
        <w:rPr>
          <w:rFonts w:cstheme="minorHAnsi"/>
          <w:b/>
          <w:szCs w:val="16"/>
          <w:u w:val="single"/>
        </w:rPr>
        <w:t>Part C: Seasonally Adjusted (by Geography)</w:t>
      </w:r>
    </w:p>
    <w:p w14:paraId="5B91D0CB" w14:textId="042F1FF0"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19. U.S. Trade in Goods by Selected Count</w:t>
      </w:r>
      <w:r w:rsidR="00442812" w:rsidRPr="00A07FF1">
        <w:rPr>
          <w:rFonts w:cstheme="minorHAnsi"/>
          <w:szCs w:val="16"/>
        </w:rPr>
        <w:t>ries and Areas – Census Basis</w:t>
      </w:r>
      <w:r w:rsidR="00442812" w:rsidRPr="00A07FF1">
        <w:rPr>
          <w:rFonts w:cstheme="minorHAnsi"/>
          <w:szCs w:val="16"/>
        </w:rPr>
        <w:tab/>
      </w:r>
    </w:p>
    <w:p w14:paraId="0403F1E9" w14:textId="70F9332C"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20. U.S. Trade in Goods and Services by Selected Co</w:t>
      </w:r>
      <w:r w:rsidR="00442812" w:rsidRPr="00A07FF1">
        <w:rPr>
          <w:rFonts w:cstheme="minorHAnsi"/>
          <w:szCs w:val="16"/>
        </w:rPr>
        <w:t>untries and Areas – BOP Basis</w:t>
      </w:r>
      <w:r w:rsidR="00442812" w:rsidRPr="00A07FF1">
        <w:rPr>
          <w:rFonts w:cstheme="minorHAnsi"/>
          <w:szCs w:val="16"/>
        </w:rPr>
        <w:tab/>
      </w:r>
    </w:p>
    <w:p w14:paraId="26643C48" w14:textId="08723609"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20a. U.S. Trade in Goods by Selected Co</w:t>
      </w:r>
      <w:r w:rsidR="00442812" w:rsidRPr="00A07FF1">
        <w:rPr>
          <w:rFonts w:cstheme="minorHAnsi"/>
          <w:szCs w:val="16"/>
        </w:rPr>
        <w:t>untries and Areas – BOP Basis</w:t>
      </w:r>
    </w:p>
    <w:p w14:paraId="5A6E042D" w14:textId="6635C914" w:rsidR="001964EE" w:rsidRPr="00A07FF1" w:rsidRDefault="00105DB6" w:rsidP="001172C9">
      <w:pPr>
        <w:spacing w:after="0"/>
        <w:ind w:left="-360"/>
        <w:rPr>
          <w:rFonts w:cstheme="minorHAnsi"/>
          <w:b/>
          <w:sz w:val="16"/>
          <w:szCs w:val="16"/>
        </w:rPr>
      </w:pPr>
      <w:r w:rsidRPr="00A07FF1">
        <w:rPr>
          <w:rFonts w:cstheme="minorHAnsi"/>
          <w:szCs w:val="16"/>
        </w:rPr>
        <w:t xml:space="preserve">Exhibit </w:t>
      </w:r>
      <w:r w:rsidR="001964EE" w:rsidRPr="00A07FF1">
        <w:rPr>
          <w:rFonts w:cstheme="minorHAnsi"/>
          <w:szCs w:val="16"/>
        </w:rPr>
        <w:t>20b. U.S. Trade in Services by S</w:t>
      </w:r>
      <w:r w:rsidR="00442812" w:rsidRPr="00A07FF1">
        <w:rPr>
          <w:rFonts w:cstheme="minorHAnsi"/>
          <w:szCs w:val="16"/>
        </w:rPr>
        <w:t>elected Countries and Areas</w:t>
      </w:r>
    </w:p>
    <w:p w14:paraId="1BE50046" w14:textId="6C39FFC6" w:rsidR="000D454B" w:rsidRPr="00A07FF1" w:rsidRDefault="000D454B" w:rsidP="005A5C57">
      <w:pPr>
        <w:ind w:left="-360"/>
        <w:rPr>
          <w:rFonts w:cstheme="minorHAnsi"/>
          <w:b/>
          <w:sz w:val="16"/>
          <w:szCs w:val="16"/>
        </w:rPr>
      </w:pPr>
    </w:p>
    <w:p w14:paraId="08162CF8" w14:textId="2E965B48" w:rsidR="005E5716" w:rsidRPr="00A07FF1" w:rsidRDefault="005E5716" w:rsidP="005E5716">
      <w:pPr>
        <w:tabs>
          <w:tab w:val="left" w:pos="-180"/>
        </w:tabs>
        <w:ind w:left="-173" w:hanging="187"/>
        <w:jc w:val="center"/>
        <w:rPr>
          <w:rFonts w:cstheme="minorHAnsi"/>
          <w:sz w:val="24"/>
          <w:szCs w:val="24"/>
        </w:rPr>
      </w:pPr>
      <w:r w:rsidRPr="00A07FF1">
        <w:rPr>
          <w:rFonts w:cstheme="minorHAnsi"/>
          <w:sz w:val="24"/>
          <w:szCs w:val="24"/>
        </w:rPr>
        <w:t>###</w:t>
      </w:r>
    </w:p>
    <w:sectPr w:rsidR="005E5716" w:rsidRPr="00A07FF1" w:rsidSect="00E7676D">
      <w:type w:val="continuous"/>
      <w:pgSz w:w="12240" w:h="15840"/>
      <w:pgMar w:top="1440" w:right="1080" w:bottom="540" w:left="1080" w:header="720" w:footer="432"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441">
      <wne:macro wne:macroName="NORMAL.NEWMACROS.PASTE"/>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988E8" w14:textId="77777777" w:rsidR="007D6D0D" w:rsidRDefault="007D6D0D" w:rsidP="0023449C">
      <w:pPr>
        <w:spacing w:after="0" w:line="240" w:lineRule="auto"/>
      </w:pPr>
      <w:r>
        <w:separator/>
      </w:r>
    </w:p>
  </w:endnote>
  <w:endnote w:type="continuationSeparator" w:id="0">
    <w:p w14:paraId="4D4F9893" w14:textId="77777777" w:rsidR="007D6D0D" w:rsidRDefault="007D6D0D" w:rsidP="00234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Times New Roman"/>
    <w:charset w:val="00"/>
    <w:family w:val="auto"/>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97588" w14:textId="77777777" w:rsidR="007D6D0D" w:rsidRDefault="007D6D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32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2220"/>
      <w:gridCol w:w="4239"/>
    </w:tblGrid>
    <w:tr w:rsidR="007D6D0D" w:rsidRPr="00C551C0" w14:paraId="49E0E895" w14:textId="77777777" w:rsidTr="00E37CF8">
      <w:trPr>
        <w:jc w:val="center"/>
      </w:trPr>
      <w:tc>
        <w:tcPr>
          <w:tcW w:w="2192" w:type="pct"/>
        </w:tcPr>
        <w:p w14:paraId="7002AE84" w14:textId="77777777" w:rsidR="007D6D0D" w:rsidRDefault="007D6D0D" w:rsidP="00EA406A">
          <w:pPr>
            <w:rPr>
              <w:rFonts w:cs="Times New Roman"/>
              <w:b/>
              <w:sz w:val="18"/>
              <w:szCs w:val="18"/>
            </w:rPr>
          </w:pPr>
        </w:p>
      </w:tc>
      <w:tc>
        <w:tcPr>
          <w:tcW w:w="965" w:type="pct"/>
          <w:vAlign w:val="bottom"/>
        </w:tcPr>
        <w:p w14:paraId="31EDF444" w14:textId="77777777" w:rsidR="007D6D0D" w:rsidRDefault="007D6D0D" w:rsidP="00B96748">
          <w:pPr>
            <w:rPr>
              <w:rFonts w:cs="Times New Roman"/>
              <w:b/>
              <w:sz w:val="18"/>
              <w:szCs w:val="18"/>
            </w:rPr>
          </w:pPr>
        </w:p>
      </w:tc>
      <w:tc>
        <w:tcPr>
          <w:tcW w:w="1843" w:type="pct"/>
          <w:vAlign w:val="bottom"/>
        </w:tcPr>
        <w:p w14:paraId="10C0A75A" w14:textId="77777777" w:rsidR="007D6D0D" w:rsidRPr="00A966F0" w:rsidRDefault="007D6D0D" w:rsidP="00C234A9">
          <w:pPr>
            <w:jc w:val="right"/>
            <w:rPr>
              <w:rFonts w:cs="Times New Roman"/>
              <w:b/>
              <w:sz w:val="18"/>
              <w:szCs w:val="18"/>
            </w:rPr>
          </w:pPr>
        </w:p>
      </w:tc>
    </w:tr>
    <w:tr w:rsidR="007D6D0D" w:rsidRPr="00C551C0" w14:paraId="27125277" w14:textId="77777777" w:rsidTr="001172C9">
      <w:trPr>
        <w:jc w:val="center"/>
      </w:trPr>
      <w:tc>
        <w:tcPr>
          <w:tcW w:w="2192" w:type="pct"/>
        </w:tcPr>
        <w:p w14:paraId="57767C8C" w14:textId="2EA63F7D" w:rsidR="007D6D0D" w:rsidRPr="00463140" w:rsidRDefault="007D6D0D" w:rsidP="00EA406A">
          <w:pPr>
            <w:rPr>
              <w:rFonts w:cs="Times New Roman"/>
              <w:b/>
              <w:sz w:val="18"/>
              <w:szCs w:val="18"/>
            </w:rPr>
          </w:pPr>
          <w:r>
            <w:rPr>
              <w:rFonts w:cs="Times New Roman"/>
              <w:b/>
              <w:sz w:val="18"/>
              <w:szCs w:val="18"/>
            </w:rPr>
            <w:t xml:space="preserve">Goods </w:t>
          </w:r>
          <w:r w:rsidRPr="00463140">
            <w:rPr>
              <w:rFonts w:cs="Times New Roman"/>
              <w:b/>
              <w:sz w:val="18"/>
              <w:szCs w:val="18"/>
            </w:rPr>
            <w:t>Data Inquiries</w:t>
          </w:r>
        </w:p>
      </w:tc>
      <w:tc>
        <w:tcPr>
          <w:tcW w:w="965" w:type="pct"/>
          <w:vAlign w:val="bottom"/>
        </w:tcPr>
        <w:p w14:paraId="172C0564" w14:textId="0DA63EED" w:rsidR="007D6D0D" w:rsidRPr="00C551C0" w:rsidRDefault="007D6D0D" w:rsidP="00B96748">
          <w:pPr>
            <w:rPr>
              <w:rFonts w:cs="Times New Roman"/>
              <w:b/>
              <w:sz w:val="18"/>
              <w:szCs w:val="18"/>
            </w:rPr>
          </w:pPr>
          <w:r>
            <w:rPr>
              <w:rFonts w:cs="Times New Roman"/>
              <w:b/>
              <w:sz w:val="18"/>
              <w:szCs w:val="18"/>
            </w:rPr>
            <w:t xml:space="preserve">Goods </w:t>
          </w:r>
          <w:r w:rsidRPr="00C551C0">
            <w:rPr>
              <w:rFonts w:cs="Times New Roman"/>
              <w:b/>
              <w:sz w:val="18"/>
              <w:szCs w:val="18"/>
            </w:rPr>
            <w:t>Media Inquiries</w:t>
          </w:r>
        </w:p>
      </w:tc>
      <w:tc>
        <w:tcPr>
          <w:tcW w:w="1843" w:type="pct"/>
          <w:vAlign w:val="bottom"/>
        </w:tcPr>
        <w:p w14:paraId="7794EB43" w14:textId="15C6FA30" w:rsidR="007D6D0D" w:rsidRPr="00C551C0" w:rsidRDefault="007D6D0D" w:rsidP="00C234A9">
          <w:pPr>
            <w:jc w:val="right"/>
            <w:rPr>
              <w:rFonts w:cs="Times New Roman"/>
              <w:b/>
              <w:sz w:val="18"/>
              <w:szCs w:val="18"/>
            </w:rPr>
          </w:pPr>
          <w:r w:rsidRPr="00A966F0">
            <w:rPr>
              <w:rFonts w:cs="Times New Roman"/>
              <w:b/>
              <w:sz w:val="18"/>
              <w:szCs w:val="18"/>
            </w:rPr>
            <w:t>Service</w:t>
          </w:r>
          <w:r>
            <w:rPr>
              <w:rFonts w:cs="Times New Roman"/>
              <w:b/>
              <w:sz w:val="18"/>
              <w:szCs w:val="18"/>
            </w:rPr>
            <w:t>s</w:t>
          </w:r>
          <w:r w:rsidRPr="00A966F0">
            <w:rPr>
              <w:rFonts w:cs="Times New Roman"/>
              <w:b/>
              <w:sz w:val="18"/>
              <w:szCs w:val="18"/>
            </w:rPr>
            <w:t xml:space="preserve"> Data </w:t>
          </w:r>
          <w:r>
            <w:rPr>
              <w:rFonts w:cs="Times New Roman"/>
              <w:b/>
              <w:sz w:val="18"/>
              <w:szCs w:val="18"/>
            </w:rPr>
            <w:t xml:space="preserve">and Media </w:t>
          </w:r>
          <w:r w:rsidRPr="00A966F0">
            <w:rPr>
              <w:rFonts w:cs="Times New Roman"/>
              <w:b/>
              <w:sz w:val="18"/>
              <w:szCs w:val="18"/>
            </w:rPr>
            <w:t>Inquir</w:t>
          </w:r>
          <w:r>
            <w:rPr>
              <w:rFonts w:cs="Times New Roman"/>
              <w:b/>
              <w:sz w:val="18"/>
              <w:szCs w:val="18"/>
            </w:rPr>
            <w:t>i</w:t>
          </w:r>
          <w:r w:rsidRPr="00A966F0">
            <w:rPr>
              <w:rFonts w:cs="Times New Roman"/>
              <w:b/>
              <w:sz w:val="18"/>
              <w:szCs w:val="18"/>
            </w:rPr>
            <w:t>es</w:t>
          </w:r>
        </w:p>
      </w:tc>
    </w:tr>
    <w:tr w:rsidR="007D6D0D" w:rsidRPr="00E578D1" w14:paraId="3851CCCB" w14:textId="77777777" w:rsidTr="001172C9">
      <w:trPr>
        <w:jc w:val="center"/>
      </w:trPr>
      <w:tc>
        <w:tcPr>
          <w:tcW w:w="2192" w:type="pct"/>
        </w:tcPr>
        <w:p w14:paraId="38F42D62" w14:textId="178D3C00" w:rsidR="007D6D0D" w:rsidRDefault="007D6D0D" w:rsidP="004D508E">
          <w:pPr>
            <w:rPr>
              <w:rFonts w:cs="Times New Roman"/>
              <w:sz w:val="18"/>
              <w:szCs w:val="18"/>
            </w:rPr>
          </w:pPr>
          <w:r>
            <w:rPr>
              <w:rFonts w:cs="Times New Roman"/>
              <w:sz w:val="18"/>
              <w:szCs w:val="18"/>
            </w:rPr>
            <w:t>U.S. Census Bureau</w:t>
          </w:r>
        </w:p>
      </w:tc>
      <w:tc>
        <w:tcPr>
          <w:tcW w:w="965" w:type="pct"/>
          <w:vAlign w:val="bottom"/>
        </w:tcPr>
        <w:p w14:paraId="0A7DD33C" w14:textId="427DA132" w:rsidR="007D6D0D" w:rsidRDefault="007D6D0D" w:rsidP="00B96748">
          <w:pPr>
            <w:rPr>
              <w:rFonts w:cs="Times New Roman"/>
              <w:sz w:val="18"/>
              <w:szCs w:val="18"/>
            </w:rPr>
          </w:pPr>
          <w:r>
            <w:rPr>
              <w:rFonts w:cs="Times New Roman"/>
              <w:sz w:val="18"/>
              <w:szCs w:val="18"/>
            </w:rPr>
            <w:t>U.S. Census Bureau</w:t>
          </w:r>
        </w:p>
      </w:tc>
      <w:tc>
        <w:tcPr>
          <w:tcW w:w="1843" w:type="pct"/>
          <w:vAlign w:val="bottom"/>
        </w:tcPr>
        <w:p w14:paraId="181D54FB" w14:textId="4791CFA7" w:rsidR="007D6D0D" w:rsidRPr="00A966F0" w:rsidRDefault="007D6D0D" w:rsidP="00A966F0">
          <w:pPr>
            <w:ind w:left="-79"/>
            <w:jc w:val="right"/>
            <w:rPr>
              <w:rFonts w:cs="Times New Roman"/>
              <w:sz w:val="18"/>
              <w:szCs w:val="18"/>
            </w:rPr>
          </w:pPr>
          <w:r w:rsidRPr="00A966F0">
            <w:rPr>
              <w:rFonts w:cs="Times New Roman"/>
              <w:sz w:val="18"/>
              <w:szCs w:val="18"/>
            </w:rPr>
            <w:t>U.S. Bureau of Economic Analysis</w:t>
          </w:r>
        </w:p>
      </w:tc>
    </w:tr>
    <w:tr w:rsidR="007D6D0D" w:rsidRPr="00E578D1" w14:paraId="115A95EE" w14:textId="77777777" w:rsidTr="001172C9">
      <w:trPr>
        <w:jc w:val="center"/>
      </w:trPr>
      <w:tc>
        <w:tcPr>
          <w:tcW w:w="2192" w:type="pct"/>
        </w:tcPr>
        <w:p w14:paraId="352A56A6" w14:textId="3275D50F" w:rsidR="007D6D0D" w:rsidRDefault="007D6D0D" w:rsidP="004D508E">
          <w:pPr>
            <w:rPr>
              <w:rFonts w:cs="Times New Roman"/>
              <w:sz w:val="18"/>
              <w:szCs w:val="18"/>
            </w:rPr>
          </w:pPr>
          <w:r>
            <w:rPr>
              <w:rFonts w:cs="Times New Roman"/>
              <w:sz w:val="18"/>
              <w:szCs w:val="18"/>
            </w:rPr>
            <w:t>Economic Indicators Division, International Trade</w:t>
          </w:r>
        </w:p>
      </w:tc>
      <w:tc>
        <w:tcPr>
          <w:tcW w:w="965" w:type="pct"/>
          <w:vAlign w:val="bottom"/>
        </w:tcPr>
        <w:p w14:paraId="344ADC0C" w14:textId="4A1A9DDB" w:rsidR="007D6D0D" w:rsidRDefault="007D6D0D" w:rsidP="00B96748">
          <w:pPr>
            <w:rPr>
              <w:rFonts w:cs="Times New Roman"/>
              <w:sz w:val="18"/>
              <w:szCs w:val="18"/>
            </w:rPr>
          </w:pPr>
          <w:r>
            <w:rPr>
              <w:rFonts w:cs="Times New Roman"/>
              <w:sz w:val="18"/>
              <w:szCs w:val="18"/>
            </w:rPr>
            <w:t>Public Information Office</w:t>
          </w:r>
        </w:p>
      </w:tc>
      <w:tc>
        <w:tcPr>
          <w:tcW w:w="1843" w:type="pct"/>
          <w:vAlign w:val="bottom"/>
        </w:tcPr>
        <w:p w14:paraId="36E8859C" w14:textId="129DA6B0" w:rsidR="007D6D0D" w:rsidRPr="00A966F0" w:rsidRDefault="007D6D0D" w:rsidP="00A966F0">
          <w:pPr>
            <w:ind w:left="-79"/>
            <w:jc w:val="right"/>
            <w:rPr>
              <w:rFonts w:cs="Times New Roman"/>
              <w:sz w:val="18"/>
              <w:szCs w:val="18"/>
            </w:rPr>
          </w:pPr>
          <w:r w:rsidRPr="00250AB8">
            <w:rPr>
              <w:rFonts w:cs="Times New Roman"/>
              <w:sz w:val="18"/>
              <w:szCs w:val="18"/>
            </w:rPr>
            <w:t>Balance of Payments Division</w:t>
          </w:r>
        </w:p>
      </w:tc>
    </w:tr>
    <w:tr w:rsidR="007D6D0D" w:rsidRPr="00E578D1" w14:paraId="4C96D9F0" w14:textId="77777777" w:rsidTr="001172C9">
      <w:trPr>
        <w:jc w:val="center"/>
      </w:trPr>
      <w:tc>
        <w:tcPr>
          <w:tcW w:w="2192" w:type="pct"/>
        </w:tcPr>
        <w:p w14:paraId="5B368049" w14:textId="75EA01CE" w:rsidR="007D6D0D" w:rsidRDefault="007D6D0D" w:rsidP="004D508E">
          <w:pPr>
            <w:rPr>
              <w:rFonts w:cs="Times New Roman"/>
              <w:sz w:val="18"/>
              <w:szCs w:val="18"/>
            </w:rPr>
          </w:pPr>
          <w:r>
            <w:rPr>
              <w:rFonts w:cs="Times New Roman"/>
              <w:sz w:val="18"/>
              <w:szCs w:val="18"/>
            </w:rPr>
            <w:t>301-</w:t>
          </w:r>
          <w:r w:rsidRPr="0014744E">
            <w:rPr>
              <w:rFonts w:cs="Times New Roman"/>
              <w:sz w:val="18"/>
              <w:szCs w:val="18"/>
            </w:rPr>
            <w:t>763-2311</w:t>
          </w:r>
        </w:p>
      </w:tc>
      <w:tc>
        <w:tcPr>
          <w:tcW w:w="965" w:type="pct"/>
          <w:vAlign w:val="bottom"/>
        </w:tcPr>
        <w:p w14:paraId="54E44C88" w14:textId="6416AC74" w:rsidR="007D6D0D" w:rsidRDefault="007D6D0D" w:rsidP="00B96748">
          <w:pPr>
            <w:rPr>
              <w:rFonts w:cs="Times New Roman"/>
              <w:sz w:val="18"/>
              <w:szCs w:val="18"/>
            </w:rPr>
          </w:pPr>
          <w:r>
            <w:rPr>
              <w:rFonts w:cs="Times New Roman"/>
              <w:sz w:val="18"/>
              <w:szCs w:val="18"/>
            </w:rPr>
            <w:t>301-763-3030</w:t>
          </w:r>
        </w:p>
      </w:tc>
      <w:tc>
        <w:tcPr>
          <w:tcW w:w="1843" w:type="pct"/>
          <w:vAlign w:val="bottom"/>
        </w:tcPr>
        <w:p w14:paraId="5558D958" w14:textId="485A3490" w:rsidR="007D6D0D" w:rsidRPr="00A966F0" w:rsidRDefault="007D6D0D" w:rsidP="0013156D">
          <w:pPr>
            <w:ind w:left="-79"/>
            <w:jc w:val="right"/>
            <w:rPr>
              <w:rFonts w:cs="Times New Roman"/>
              <w:sz w:val="18"/>
              <w:szCs w:val="18"/>
            </w:rPr>
          </w:pPr>
          <w:r w:rsidRPr="00250AB8">
            <w:rPr>
              <w:sz w:val="18"/>
            </w:rPr>
            <w:t xml:space="preserve">Data: </w:t>
          </w:r>
          <w:r w:rsidRPr="007812D0">
            <w:rPr>
              <w:sz w:val="18"/>
            </w:rPr>
            <w:t>301-278-</w:t>
          </w:r>
          <w:r>
            <w:rPr>
              <w:sz w:val="18"/>
            </w:rPr>
            <w:t>9559</w:t>
          </w:r>
        </w:p>
      </w:tc>
    </w:tr>
    <w:tr w:rsidR="007D6D0D" w:rsidRPr="00E578D1" w14:paraId="55AECFB5" w14:textId="77777777" w:rsidTr="001172C9">
      <w:trPr>
        <w:jc w:val="center"/>
      </w:trPr>
      <w:tc>
        <w:tcPr>
          <w:tcW w:w="2192" w:type="pct"/>
        </w:tcPr>
        <w:p w14:paraId="5233A547" w14:textId="693D5055" w:rsidR="007D6D0D" w:rsidRDefault="008D5AC7" w:rsidP="004D508E">
          <w:pPr>
            <w:rPr>
              <w:rFonts w:cs="Times New Roman"/>
              <w:sz w:val="18"/>
              <w:szCs w:val="18"/>
            </w:rPr>
          </w:pPr>
          <w:hyperlink r:id="rId1" w:history="1">
            <w:r w:rsidR="007D6D0D" w:rsidRPr="00882BC0">
              <w:rPr>
                <w:rStyle w:val="Hyperlink"/>
                <w:sz w:val="18"/>
                <w:szCs w:val="18"/>
                <w:u w:val="none"/>
              </w:rPr>
              <w:t>eid.international.trade.data@census.gov</w:t>
            </w:r>
          </w:hyperlink>
        </w:p>
      </w:tc>
      <w:tc>
        <w:tcPr>
          <w:tcW w:w="965" w:type="pct"/>
          <w:vAlign w:val="bottom"/>
        </w:tcPr>
        <w:p w14:paraId="22586D83" w14:textId="466B1446" w:rsidR="007D6D0D" w:rsidRDefault="008D5AC7" w:rsidP="00B96748">
          <w:pPr>
            <w:rPr>
              <w:rFonts w:cs="Times New Roman"/>
              <w:sz w:val="18"/>
              <w:szCs w:val="18"/>
            </w:rPr>
          </w:pPr>
          <w:hyperlink r:id="rId2" w:history="1">
            <w:r w:rsidR="007D6D0D">
              <w:rPr>
                <w:rStyle w:val="Hyperlink"/>
                <w:rFonts w:cs="Times New Roman"/>
                <w:sz w:val="18"/>
                <w:szCs w:val="18"/>
                <w:u w:val="none"/>
              </w:rPr>
              <w:t>pio@census.gov</w:t>
            </w:r>
          </w:hyperlink>
        </w:p>
      </w:tc>
      <w:tc>
        <w:tcPr>
          <w:tcW w:w="1843" w:type="pct"/>
          <w:vAlign w:val="bottom"/>
        </w:tcPr>
        <w:p w14:paraId="356DF077" w14:textId="4727AF85" w:rsidR="007D6D0D" w:rsidRPr="00A966F0" w:rsidRDefault="007D6D0D" w:rsidP="00A966F0">
          <w:pPr>
            <w:ind w:left="-79"/>
            <w:jc w:val="right"/>
            <w:rPr>
              <w:rFonts w:cs="Times New Roman"/>
              <w:sz w:val="18"/>
              <w:szCs w:val="18"/>
            </w:rPr>
          </w:pPr>
          <w:r w:rsidRPr="00250AB8">
            <w:rPr>
              <w:sz w:val="18"/>
              <w:szCs w:val="18"/>
            </w:rPr>
            <w:t>Media: 301-278-9003</w:t>
          </w:r>
        </w:p>
      </w:tc>
    </w:tr>
    <w:tr w:rsidR="007D6D0D" w:rsidRPr="00E578D1" w14:paraId="7404CEC0" w14:textId="77777777" w:rsidTr="001172C9">
      <w:trPr>
        <w:jc w:val="center"/>
      </w:trPr>
      <w:tc>
        <w:tcPr>
          <w:tcW w:w="2192" w:type="pct"/>
        </w:tcPr>
        <w:p w14:paraId="04F27314" w14:textId="034D1349" w:rsidR="007D6D0D" w:rsidRPr="00E578D1" w:rsidRDefault="007D6D0D" w:rsidP="004D508E">
          <w:pPr>
            <w:rPr>
              <w:sz w:val="18"/>
              <w:szCs w:val="18"/>
            </w:rPr>
          </w:pPr>
        </w:p>
      </w:tc>
      <w:tc>
        <w:tcPr>
          <w:tcW w:w="965" w:type="pct"/>
          <w:vAlign w:val="bottom"/>
        </w:tcPr>
        <w:p w14:paraId="7D94A392" w14:textId="11818851" w:rsidR="007D6D0D" w:rsidRDefault="007D6D0D" w:rsidP="00B96748">
          <w:pPr>
            <w:rPr>
              <w:rFonts w:cs="Times New Roman"/>
              <w:sz w:val="18"/>
              <w:szCs w:val="18"/>
            </w:rPr>
          </w:pPr>
        </w:p>
      </w:tc>
      <w:tc>
        <w:tcPr>
          <w:tcW w:w="1843" w:type="pct"/>
          <w:vAlign w:val="bottom"/>
        </w:tcPr>
        <w:p w14:paraId="6435838E" w14:textId="3934DE10" w:rsidR="007D6D0D" w:rsidRPr="00E578D1" w:rsidRDefault="008D5AC7" w:rsidP="00A966F0">
          <w:pPr>
            <w:ind w:left="-79"/>
            <w:jc w:val="right"/>
            <w:rPr>
              <w:sz w:val="18"/>
              <w:szCs w:val="18"/>
            </w:rPr>
          </w:pPr>
          <w:hyperlink r:id="rId3" w:history="1">
            <w:r w:rsidR="007D6D0D" w:rsidRPr="00424FDA">
              <w:rPr>
                <w:rStyle w:val="Hyperlink"/>
                <w:sz w:val="18"/>
                <w:u w:val="none"/>
              </w:rPr>
              <w:t>InternationalAccounts@bea.gov</w:t>
            </w:r>
          </w:hyperlink>
        </w:p>
      </w:tc>
    </w:tr>
    <w:tr w:rsidR="007D6D0D" w14:paraId="240E1050" w14:textId="77777777" w:rsidTr="001172C9">
      <w:trPr>
        <w:jc w:val="center"/>
      </w:trPr>
      <w:tc>
        <w:tcPr>
          <w:tcW w:w="2192" w:type="pct"/>
        </w:tcPr>
        <w:p w14:paraId="799120ED" w14:textId="77777777" w:rsidR="007D6D0D" w:rsidRDefault="007D6D0D" w:rsidP="00C41BBB">
          <w:pPr>
            <w:rPr>
              <w:rFonts w:cs="Times New Roman"/>
              <w:sz w:val="18"/>
              <w:szCs w:val="18"/>
            </w:rPr>
          </w:pPr>
        </w:p>
      </w:tc>
      <w:tc>
        <w:tcPr>
          <w:tcW w:w="965" w:type="pct"/>
        </w:tcPr>
        <w:p w14:paraId="6DB2083F" w14:textId="3F5FF8F7" w:rsidR="007D6D0D" w:rsidRPr="00C234A9" w:rsidRDefault="007D6D0D" w:rsidP="00B96748"/>
      </w:tc>
      <w:tc>
        <w:tcPr>
          <w:tcW w:w="1843" w:type="pct"/>
        </w:tcPr>
        <w:p w14:paraId="4FA9116B" w14:textId="4DBBEADD" w:rsidR="007D6D0D" w:rsidRDefault="007D6D0D" w:rsidP="001F211F">
          <w:pPr>
            <w:jc w:val="right"/>
          </w:pPr>
        </w:p>
      </w:tc>
    </w:tr>
    <w:tr w:rsidR="007D6D0D" w:rsidRPr="00C551C0" w14:paraId="1C1E3BC8" w14:textId="77777777" w:rsidTr="00933C70">
      <w:trPr>
        <w:trHeight w:val="446"/>
        <w:jc w:val="center"/>
      </w:trPr>
      <w:tc>
        <w:tcPr>
          <w:tcW w:w="2192" w:type="pct"/>
        </w:tcPr>
        <w:p w14:paraId="4A9489C1" w14:textId="17E9D82F" w:rsidR="007D6D0D" w:rsidRDefault="007D6D0D" w:rsidP="001F211F">
          <w:pPr>
            <w:rPr>
              <w:rFonts w:cs="Times New Roman"/>
              <w:sz w:val="18"/>
              <w:szCs w:val="18"/>
            </w:rPr>
          </w:pPr>
          <w:r>
            <w:rPr>
              <w:noProof/>
            </w:rPr>
            <w:drawing>
              <wp:inline distT="0" distB="0" distL="0" distR="0" wp14:anchorId="01175413" wp14:editId="77011DF0">
                <wp:extent cx="2907792" cy="616978"/>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 ESA.jpg"/>
                        <pic:cNvPicPr/>
                      </pic:nvPicPr>
                      <pic:blipFill>
                        <a:blip r:embed="rId4">
                          <a:extLst>
                            <a:ext uri="{28A0092B-C50C-407E-A947-70E740481C1C}">
                              <a14:useLocalDpi xmlns:a14="http://schemas.microsoft.com/office/drawing/2010/main" val="0"/>
                            </a:ext>
                          </a:extLst>
                        </a:blip>
                        <a:stretch>
                          <a:fillRect/>
                        </a:stretch>
                      </pic:blipFill>
                      <pic:spPr>
                        <a:xfrm>
                          <a:off x="0" y="0"/>
                          <a:ext cx="2907792" cy="616978"/>
                        </a:xfrm>
                        <a:prstGeom prst="rect">
                          <a:avLst/>
                        </a:prstGeom>
                      </pic:spPr>
                    </pic:pic>
                  </a:graphicData>
                </a:graphic>
              </wp:inline>
            </w:drawing>
          </w:r>
        </w:p>
      </w:tc>
      <w:tc>
        <w:tcPr>
          <w:tcW w:w="965" w:type="pct"/>
        </w:tcPr>
        <w:p w14:paraId="501DB3FC" w14:textId="77777777" w:rsidR="007D6D0D" w:rsidRDefault="007D6D0D" w:rsidP="000E3C66">
          <w:pPr>
            <w:rPr>
              <w:b/>
              <w:i/>
              <w:noProof/>
              <w:sz w:val="18"/>
              <w:szCs w:val="18"/>
            </w:rPr>
          </w:pPr>
        </w:p>
      </w:tc>
      <w:tc>
        <w:tcPr>
          <w:tcW w:w="1843" w:type="pct"/>
          <w:vAlign w:val="bottom"/>
        </w:tcPr>
        <w:p w14:paraId="3F758FE6" w14:textId="2FF80408" w:rsidR="007D6D0D" w:rsidRPr="000E3C66" w:rsidRDefault="007D6D0D" w:rsidP="00C17602">
          <w:pPr>
            <w:jc w:val="right"/>
            <w:rPr>
              <w:b/>
              <w:i/>
              <w:sz w:val="18"/>
              <w:szCs w:val="18"/>
            </w:rPr>
          </w:pPr>
          <w:r>
            <w:rPr>
              <w:b/>
              <w:i/>
              <w:noProof/>
              <w:sz w:val="18"/>
              <w:szCs w:val="18"/>
            </w:rPr>
            <w:drawing>
              <wp:inline distT="0" distB="0" distL="0" distR="0" wp14:anchorId="58BF72F5" wp14:editId="43AA08DB">
                <wp:extent cx="2228850" cy="247650"/>
                <wp:effectExtent l="0" t="0" r="0" b="0"/>
                <wp:docPr id="18" name="Picture 18" descr="C:\Users\Bpbpk1\AppData\Local\Microsoft\Windows\Temporary Internet Files\Content.IE5\Q42I5WB6\BEA-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pbpk1\AppData\Local\Microsoft\Windows\Temporary Internet Files\Content.IE5\Q42I5WB6\BEA-HLog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28850" cy="247650"/>
                        </a:xfrm>
                        <a:prstGeom prst="rect">
                          <a:avLst/>
                        </a:prstGeom>
                        <a:noFill/>
                        <a:ln>
                          <a:noFill/>
                        </a:ln>
                      </pic:spPr>
                    </pic:pic>
                  </a:graphicData>
                </a:graphic>
              </wp:inline>
            </w:drawing>
          </w:r>
        </w:p>
      </w:tc>
    </w:tr>
  </w:tbl>
  <w:p w14:paraId="55A382D8" w14:textId="067BE03D" w:rsidR="007D6D0D" w:rsidRPr="00CF0CF5" w:rsidRDefault="007D6D0D" w:rsidP="00933C70">
    <w:pPr>
      <w:pStyle w:val="Footer"/>
      <w:rPr>
        <w:sz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6AC30" w14:textId="77777777" w:rsidR="007D6D0D" w:rsidRDefault="007D6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554E0" w14:textId="77777777" w:rsidR="007D6D0D" w:rsidRDefault="007D6D0D" w:rsidP="0023449C">
      <w:pPr>
        <w:spacing w:after="0" w:line="240" w:lineRule="auto"/>
      </w:pPr>
      <w:r>
        <w:separator/>
      </w:r>
    </w:p>
  </w:footnote>
  <w:footnote w:type="continuationSeparator" w:id="0">
    <w:p w14:paraId="359BAFCA" w14:textId="77777777" w:rsidR="007D6D0D" w:rsidRDefault="007D6D0D" w:rsidP="002344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EE37C" w14:textId="77777777" w:rsidR="007D6D0D" w:rsidRDefault="007D6D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A6FDB" w14:textId="77777777" w:rsidR="007D6D0D" w:rsidRDefault="007D6D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98752" w14:textId="77777777" w:rsidR="007D6D0D" w:rsidRDefault="007D6D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317D"/>
    <w:multiLevelType w:val="hybridMultilevel"/>
    <w:tmpl w:val="7F42A1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E36F50"/>
    <w:multiLevelType w:val="hybridMultilevel"/>
    <w:tmpl w:val="315876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41F19"/>
    <w:multiLevelType w:val="hybridMultilevel"/>
    <w:tmpl w:val="51B61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07883"/>
    <w:multiLevelType w:val="hybridMultilevel"/>
    <w:tmpl w:val="F6C6B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DD6F63"/>
    <w:multiLevelType w:val="hybridMultilevel"/>
    <w:tmpl w:val="E1A4FE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5D1911"/>
    <w:multiLevelType w:val="multilevel"/>
    <w:tmpl w:val="C4F2FA16"/>
    <w:styleLink w:val="Style1"/>
    <w:lvl w:ilvl="0">
      <w:start w:val="1"/>
      <w:numFmt w:val="bullet"/>
      <w:lvlText w:val=""/>
      <w:lvlJc w:val="left"/>
      <w:pPr>
        <w:ind w:left="360" w:hanging="360"/>
      </w:pPr>
      <w:rPr>
        <w:rFonts w:ascii="Symbol" w:hAnsi="Symbol" w:hint="default"/>
        <w:sz w:val="20"/>
        <w:szCs w:val="2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cs="Courier New"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5017107"/>
    <w:multiLevelType w:val="hybridMultilevel"/>
    <w:tmpl w:val="E6D86C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64342E7"/>
    <w:multiLevelType w:val="hybridMultilevel"/>
    <w:tmpl w:val="E5D8264C"/>
    <w:lvl w:ilvl="0" w:tplc="04090001">
      <w:start w:val="1"/>
      <w:numFmt w:val="bullet"/>
      <w:lvlText w:val=""/>
      <w:lvlJc w:val="left"/>
      <w:pPr>
        <w:ind w:left="1080" w:hanging="360"/>
      </w:pPr>
      <w:rPr>
        <w:rFonts w:ascii="Symbol" w:hAnsi="Symbol" w:hint="default"/>
      </w:rPr>
    </w:lvl>
    <w:lvl w:ilvl="1" w:tplc="40BA8CAA">
      <w:numFmt w:val="bullet"/>
      <w:lvlText w:val="•"/>
      <w:lvlJc w:val="left"/>
      <w:pPr>
        <w:ind w:left="1800" w:hanging="360"/>
      </w:pPr>
      <w:rPr>
        <w:rFonts w:ascii="Times New Roman" w:eastAsiaTheme="minorHAnsi"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49055F4"/>
    <w:multiLevelType w:val="hybridMultilevel"/>
    <w:tmpl w:val="944C9DDA"/>
    <w:lvl w:ilvl="0" w:tplc="96EEB63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F03CFC"/>
    <w:multiLevelType w:val="hybridMultilevel"/>
    <w:tmpl w:val="129C6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847D00"/>
    <w:multiLevelType w:val="hybridMultilevel"/>
    <w:tmpl w:val="65AE43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9C21887"/>
    <w:multiLevelType w:val="hybridMultilevel"/>
    <w:tmpl w:val="E5A81DD0"/>
    <w:lvl w:ilvl="0" w:tplc="2F2633BE">
      <w:start w:val="1"/>
      <w:numFmt w:val="bullet"/>
      <w:lvlText w:val=""/>
      <w:lvlJc w:val="left"/>
      <w:pPr>
        <w:ind w:left="360" w:hanging="360"/>
      </w:pPr>
      <w:rPr>
        <w:rFonts w:ascii="Symbol" w:hAnsi="Symbol" w:hint="default"/>
        <w:sz w:val="20"/>
        <w:szCs w:val="20"/>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5C30511"/>
    <w:multiLevelType w:val="hybridMultilevel"/>
    <w:tmpl w:val="2E60846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48A06FE5"/>
    <w:multiLevelType w:val="hybridMultilevel"/>
    <w:tmpl w:val="0600A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846682"/>
    <w:multiLevelType w:val="hybridMultilevel"/>
    <w:tmpl w:val="C388C3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B646D1E"/>
    <w:multiLevelType w:val="hybridMultilevel"/>
    <w:tmpl w:val="C99E6C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B9C5905"/>
    <w:multiLevelType w:val="hybridMultilevel"/>
    <w:tmpl w:val="37C4D1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D6C6C31"/>
    <w:multiLevelType w:val="hybridMultilevel"/>
    <w:tmpl w:val="A9824C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1EF05AA"/>
    <w:multiLevelType w:val="hybridMultilevel"/>
    <w:tmpl w:val="F15CEC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3633665"/>
    <w:multiLevelType w:val="hybridMultilevel"/>
    <w:tmpl w:val="33B2C2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7B77FD"/>
    <w:multiLevelType w:val="hybridMultilevel"/>
    <w:tmpl w:val="D360A10C"/>
    <w:lvl w:ilvl="0" w:tplc="96EEB63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60122"/>
    <w:multiLevelType w:val="multilevel"/>
    <w:tmpl w:val="C4F2FA16"/>
    <w:numStyleLink w:val="Style1"/>
  </w:abstractNum>
  <w:abstractNum w:abstractNumId="22" w15:restartNumberingAfterBreak="0">
    <w:nsid w:val="6822212E"/>
    <w:multiLevelType w:val="hybridMultilevel"/>
    <w:tmpl w:val="0DBADCA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7ACF2EAA"/>
    <w:multiLevelType w:val="hybridMultilevel"/>
    <w:tmpl w:val="FA346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11"/>
  </w:num>
  <w:num w:numId="4">
    <w:abstractNumId w:val="5"/>
  </w:num>
  <w:num w:numId="5">
    <w:abstractNumId w:val="21"/>
  </w:num>
  <w:num w:numId="6">
    <w:abstractNumId w:val="6"/>
  </w:num>
  <w:num w:numId="7">
    <w:abstractNumId w:val="0"/>
  </w:num>
  <w:num w:numId="8">
    <w:abstractNumId w:val="16"/>
  </w:num>
  <w:num w:numId="9">
    <w:abstractNumId w:val="15"/>
  </w:num>
  <w:num w:numId="10">
    <w:abstractNumId w:val="7"/>
  </w:num>
  <w:num w:numId="11">
    <w:abstractNumId w:val="1"/>
  </w:num>
  <w:num w:numId="12">
    <w:abstractNumId w:val="4"/>
  </w:num>
  <w:num w:numId="13">
    <w:abstractNumId w:val="18"/>
  </w:num>
  <w:num w:numId="14">
    <w:abstractNumId w:val="22"/>
  </w:num>
  <w:num w:numId="15">
    <w:abstractNumId w:val="12"/>
  </w:num>
  <w:num w:numId="16">
    <w:abstractNumId w:val="19"/>
  </w:num>
  <w:num w:numId="17">
    <w:abstractNumId w:val="8"/>
  </w:num>
  <w:num w:numId="18">
    <w:abstractNumId w:val="20"/>
  </w:num>
  <w:num w:numId="19">
    <w:abstractNumId w:val="3"/>
  </w:num>
  <w:num w:numId="20">
    <w:abstractNumId w:val="9"/>
  </w:num>
  <w:num w:numId="21">
    <w:abstractNumId w:val="23"/>
  </w:num>
  <w:num w:numId="22">
    <w:abstractNumId w:val="13"/>
  </w:num>
  <w:num w:numId="23">
    <w:abstractNumId w:val="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372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SV_QUERY_LIST_4F35BF76-6C0D-4D9B-82B2-816C12CF3733" w:val="empty_477D106A-C0D6-4607-AEBD-E2C9D60EA279"/>
  </w:docVars>
  <w:rsids>
    <w:rsidRoot w:val="00DA5A25"/>
    <w:rsid w:val="0000159A"/>
    <w:rsid w:val="00002B8B"/>
    <w:rsid w:val="00003BE9"/>
    <w:rsid w:val="00005371"/>
    <w:rsid w:val="00005637"/>
    <w:rsid w:val="000062F5"/>
    <w:rsid w:val="000065B4"/>
    <w:rsid w:val="00006D15"/>
    <w:rsid w:val="000101A8"/>
    <w:rsid w:val="00011734"/>
    <w:rsid w:val="00011F07"/>
    <w:rsid w:val="000136C3"/>
    <w:rsid w:val="00013842"/>
    <w:rsid w:val="00015C89"/>
    <w:rsid w:val="0001653D"/>
    <w:rsid w:val="00016AB8"/>
    <w:rsid w:val="0002062C"/>
    <w:rsid w:val="00020E47"/>
    <w:rsid w:val="00022EA5"/>
    <w:rsid w:val="00022EB0"/>
    <w:rsid w:val="000269B6"/>
    <w:rsid w:val="00026C37"/>
    <w:rsid w:val="00027715"/>
    <w:rsid w:val="00033313"/>
    <w:rsid w:val="000342F7"/>
    <w:rsid w:val="00034B00"/>
    <w:rsid w:val="00035B89"/>
    <w:rsid w:val="0003635B"/>
    <w:rsid w:val="00037355"/>
    <w:rsid w:val="00042C67"/>
    <w:rsid w:val="00043113"/>
    <w:rsid w:val="0004558F"/>
    <w:rsid w:val="00046491"/>
    <w:rsid w:val="00046797"/>
    <w:rsid w:val="000472DB"/>
    <w:rsid w:val="00050388"/>
    <w:rsid w:val="00052425"/>
    <w:rsid w:val="00053B6C"/>
    <w:rsid w:val="00054CE9"/>
    <w:rsid w:val="00057E99"/>
    <w:rsid w:val="000632AF"/>
    <w:rsid w:val="000648C8"/>
    <w:rsid w:val="00064A7B"/>
    <w:rsid w:val="000652A6"/>
    <w:rsid w:val="00065DC8"/>
    <w:rsid w:val="0007066F"/>
    <w:rsid w:val="00071CE7"/>
    <w:rsid w:val="000720EF"/>
    <w:rsid w:val="00072F0E"/>
    <w:rsid w:val="00072F87"/>
    <w:rsid w:val="00073FC4"/>
    <w:rsid w:val="00074C37"/>
    <w:rsid w:val="000750A9"/>
    <w:rsid w:val="00075659"/>
    <w:rsid w:val="00075DBA"/>
    <w:rsid w:val="000769B4"/>
    <w:rsid w:val="00077ED7"/>
    <w:rsid w:val="0008176D"/>
    <w:rsid w:val="00082814"/>
    <w:rsid w:val="00085A1D"/>
    <w:rsid w:val="00086A28"/>
    <w:rsid w:val="00087651"/>
    <w:rsid w:val="00091DF7"/>
    <w:rsid w:val="000920D4"/>
    <w:rsid w:val="000922FD"/>
    <w:rsid w:val="00092E16"/>
    <w:rsid w:val="000930E7"/>
    <w:rsid w:val="000946FE"/>
    <w:rsid w:val="00094D6D"/>
    <w:rsid w:val="000952FC"/>
    <w:rsid w:val="00097BA5"/>
    <w:rsid w:val="000A2145"/>
    <w:rsid w:val="000A216A"/>
    <w:rsid w:val="000A4878"/>
    <w:rsid w:val="000A70DF"/>
    <w:rsid w:val="000B0BD1"/>
    <w:rsid w:val="000B1C18"/>
    <w:rsid w:val="000B1D03"/>
    <w:rsid w:val="000B2065"/>
    <w:rsid w:val="000B549E"/>
    <w:rsid w:val="000C0B5C"/>
    <w:rsid w:val="000C45B7"/>
    <w:rsid w:val="000C49AE"/>
    <w:rsid w:val="000D0FC8"/>
    <w:rsid w:val="000D2739"/>
    <w:rsid w:val="000D42BC"/>
    <w:rsid w:val="000D454B"/>
    <w:rsid w:val="000D4BD7"/>
    <w:rsid w:val="000D6495"/>
    <w:rsid w:val="000D699C"/>
    <w:rsid w:val="000E3C66"/>
    <w:rsid w:val="000E6428"/>
    <w:rsid w:val="000E6BE3"/>
    <w:rsid w:val="000E7B18"/>
    <w:rsid w:val="000E7B89"/>
    <w:rsid w:val="000F30C0"/>
    <w:rsid w:val="000F4455"/>
    <w:rsid w:val="000F4EAC"/>
    <w:rsid w:val="000F5B0D"/>
    <w:rsid w:val="000F6045"/>
    <w:rsid w:val="000F7197"/>
    <w:rsid w:val="000F746C"/>
    <w:rsid w:val="000F7ABD"/>
    <w:rsid w:val="001015B4"/>
    <w:rsid w:val="00101A6B"/>
    <w:rsid w:val="00101CC5"/>
    <w:rsid w:val="00102500"/>
    <w:rsid w:val="001037EC"/>
    <w:rsid w:val="001057E6"/>
    <w:rsid w:val="00105853"/>
    <w:rsid w:val="00105DB6"/>
    <w:rsid w:val="001060BA"/>
    <w:rsid w:val="00106237"/>
    <w:rsid w:val="001062F0"/>
    <w:rsid w:val="00112653"/>
    <w:rsid w:val="00112785"/>
    <w:rsid w:val="00113770"/>
    <w:rsid w:val="00115301"/>
    <w:rsid w:val="00115B8C"/>
    <w:rsid w:val="001172C9"/>
    <w:rsid w:val="00117E9F"/>
    <w:rsid w:val="001231C5"/>
    <w:rsid w:val="00123D7A"/>
    <w:rsid w:val="0012523D"/>
    <w:rsid w:val="001313CF"/>
    <w:rsid w:val="0013156D"/>
    <w:rsid w:val="00133A91"/>
    <w:rsid w:val="00133DDB"/>
    <w:rsid w:val="001343B3"/>
    <w:rsid w:val="001352D6"/>
    <w:rsid w:val="00135CE8"/>
    <w:rsid w:val="00135FB8"/>
    <w:rsid w:val="00137A50"/>
    <w:rsid w:val="00142A18"/>
    <w:rsid w:val="00142B2E"/>
    <w:rsid w:val="001449EE"/>
    <w:rsid w:val="00146F56"/>
    <w:rsid w:val="0014797C"/>
    <w:rsid w:val="00150D24"/>
    <w:rsid w:val="001519A5"/>
    <w:rsid w:val="00152452"/>
    <w:rsid w:val="001540E2"/>
    <w:rsid w:val="00155EC5"/>
    <w:rsid w:val="00161BE7"/>
    <w:rsid w:val="001631D2"/>
    <w:rsid w:val="001705DB"/>
    <w:rsid w:val="00170856"/>
    <w:rsid w:val="00172E5E"/>
    <w:rsid w:val="00174EB5"/>
    <w:rsid w:val="00176807"/>
    <w:rsid w:val="00177FEC"/>
    <w:rsid w:val="00181556"/>
    <w:rsid w:val="001825AD"/>
    <w:rsid w:val="00183804"/>
    <w:rsid w:val="001838B5"/>
    <w:rsid w:val="001944D0"/>
    <w:rsid w:val="001953D0"/>
    <w:rsid w:val="001964EE"/>
    <w:rsid w:val="00196D7B"/>
    <w:rsid w:val="00197FBF"/>
    <w:rsid w:val="001A0937"/>
    <w:rsid w:val="001A179D"/>
    <w:rsid w:val="001A4366"/>
    <w:rsid w:val="001A5114"/>
    <w:rsid w:val="001B4D6A"/>
    <w:rsid w:val="001B521D"/>
    <w:rsid w:val="001B6F0E"/>
    <w:rsid w:val="001C1FC2"/>
    <w:rsid w:val="001C2060"/>
    <w:rsid w:val="001C3918"/>
    <w:rsid w:val="001C5F4A"/>
    <w:rsid w:val="001C701D"/>
    <w:rsid w:val="001C7C40"/>
    <w:rsid w:val="001C7F2E"/>
    <w:rsid w:val="001D0D6B"/>
    <w:rsid w:val="001D100D"/>
    <w:rsid w:val="001D276D"/>
    <w:rsid w:val="001D481E"/>
    <w:rsid w:val="001D6165"/>
    <w:rsid w:val="001D61E3"/>
    <w:rsid w:val="001D7DD9"/>
    <w:rsid w:val="001E27C0"/>
    <w:rsid w:val="001E2ADB"/>
    <w:rsid w:val="001E2D24"/>
    <w:rsid w:val="001E3268"/>
    <w:rsid w:val="001E3BFD"/>
    <w:rsid w:val="001E40C3"/>
    <w:rsid w:val="001E5DFB"/>
    <w:rsid w:val="001E65B9"/>
    <w:rsid w:val="001E737D"/>
    <w:rsid w:val="001F1AA8"/>
    <w:rsid w:val="001F211F"/>
    <w:rsid w:val="001F4392"/>
    <w:rsid w:val="001F7D1C"/>
    <w:rsid w:val="0020223C"/>
    <w:rsid w:val="00207EA3"/>
    <w:rsid w:val="00210E93"/>
    <w:rsid w:val="0021249D"/>
    <w:rsid w:val="002127AC"/>
    <w:rsid w:val="002136E5"/>
    <w:rsid w:val="00214AB1"/>
    <w:rsid w:val="002153CE"/>
    <w:rsid w:val="0021601D"/>
    <w:rsid w:val="00217BB6"/>
    <w:rsid w:val="0022081B"/>
    <w:rsid w:val="002226BC"/>
    <w:rsid w:val="00224393"/>
    <w:rsid w:val="00224571"/>
    <w:rsid w:val="00226EBC"/>
    <w:rsid w:val="00231866"/>
    <w:rsid w:val="0023365E"/>
    <w:rsid w:val="002337AB"/>
    <w:rsid w:val="0023449C"/>
    <w:rsid w:val="00234A17"/>
    <w:rsid w:val="00234F4A"/>
    <w:rsid w:val="0023523B"/>
    <w:rsid w:val="0024067F"/>
    <w:rsid w:val="00240DBA"/>
    <w:rsid w:val="00243E98"/>
    <w:rsid w:val="0024479F"/>
    <w:rsid w:val="00244D39"/>
    <w:rsid w:val="00250AB8"/>
    <w:rsid w:val="00251125"/>
    <w:rsid w:val="00252A59"/>
    <w:rsid w:val="00253CFA"/>
    <w:rsid w:val="00255B59"/>
    <w:rsid w:val="00260468"/>
    <w:rsid w:val="002607E3"/>
    <w:rsid w:val="00262F2A"/>
    <w:rsid w:val="00263372"/>
    <w:rsid w:val="002639E3"/>
    <w:rsid w:val="00265E75"/>
    <w:rsid w:val="002661F9"/>
    <w:rsid w:val="002666C8"/>
    <w:rsid w:val="002668CC"/>
    <w:rsid w:val="00267C00"/>
    <w:rsid w:val="002720EB"/>
    <w:rsid w:val="0027328E"/>
    <w:rsid w:val="00275723"/>
    <w:rsid w:val="002768BE"/>
    <w:rsid w:val="00277889"/>
    <w:rsid w:val="002778F1"/>
    <w:rsid w:val="00281A51"/>
    <w:rsid w:val="00281C92"/>
    <w:rsid w:val="00285B50"/>
    <w:rsid w:val="0028692C"/>
    <w:rsid w:val="00287345"/>
    <w:rsid w:val="00291A40"/>
    <w:rsid w:val="002953CE"/>
    <w:rsid w:val="002959F5"/>
    <w:rsid w:val="00295D54"/>
    <w:rsid w:val="002962C2"/>
    <w:rsid w:val="00296E7C"/>
    <w:rsid w:val="00296E81"/>
    <w:rsid w:val="002A0125"/>
    <w:rsid w:val="002A0C89"/>
    <w:rsid w:val="002A172C"/>
    <w:rsid w:val="002A5EB6"/>
    <w:rsid w:val="002A6402"/>
    <w:rsid w:val="002A777B"/>
    <w:rsid w:val="002A7FA0"/>
    <w:rsid w:val="002B0B0C"/>
    <w:rsid w:val="002B14C5"/>
    <w:rsid w:val="002B1DF2"/>
    <w:rsid w:val="002B2744"/>
    <w:rsid w:val="002B2BFA"/>
    <w:rsid w:val="002B3234"/>
    <w:rsid w:val="002B3BDA"/>
    <w:rsid w:val="002B3DDF"/>
    <w:rsid w:val="002B58F1"/>
    <w:rsid w:val="002B7FF9"/>
    <w:rsid w:val="002C0A5D"/>
    <w:rsid w:val="002C1BAC"/>
    <w:rsid w:val="002C4ABA"/>
    <w:rsid w:val="002C4C11"/>
    <w:rsid w:val="002C5178"/>
    <w:rsid w:val="002C5600"/>
    <w:rsid w:val="002C6EFF"/>
    <w:rsid w:val="002C718E"/>
    <w:rsid w:val="002D041B"/>
    <w:rsid w:val="002D14E8"/>
    <w:rsid w:val="002D58E3"/>
    <w:rsid w:val="002D6F4C"/>
    <w:rsid w:val="002D7455"/>
    <w:rsid w:val="002E2117"/>
    <w:rsid w:val="002E30E6"/>
    <w:rsid w:val="002E4A4D"/>
    <w:rsid w:val="002E7410"/>
    <w:rsid w:val="002E76CD"/>
    <w:rsid w:val="002F2D51"/>
    <w:rsid w:val="002F54D2"/>
    <w:rsid w:val="002F5BAA"/>
    <w:rsid w:val="00300B4F"/>
    <w:rsid w:val="00303DCE"/>
    <w:rsid w:val="003048D7"/>
    <w:rsid w:val="00304B2F"/>
    <w:rsid w:val="00304B49"/>
    <w:rsid w:val="003058B0"/>
    <w:rsid w:val="00310298"/>
    <w:rsid w:val="00310EEA"/>
    <w:rsid w:val="003133E9"/>
    <w:rsid w:val="003134F7"/>
    <w:rsid w:val="00313E2A"/>
    <w:rsid w:val="003155EA"/>
    <w:rsid w:val="00317F7E"/>
    <w:rsid w:val="0032040E"/>
    <w:rsid w:val="00320862"/>
    <w:rsid w:val="003215E5"/>
    <w:rsid w:val="00321C26"/>
    <w:rsid w:val="00323FBE"/>
    <w:rsid w:val="00326C99"/>
    <w:rsid w:val="00327E2D"/>
    <w:rsid w:val="003313C4"/>
    <w:rsid w:val="00333D54"/>
    <w:rsid w:val="00334519"/>
    <w:rsid w:val="00334EA6"/>
    <w:rsid w:val="00341BE8"/>
    <w:rsid w:val="003448AE"/>
    <w:rsid w:val="00345308"/>
    <w:rsid w:val="003507EF"/>
    <w:rsid w:val="00350EC5"/>
    <w:rsid w:val="003511E0"/>
    <w:rsid w:val="00356B5A"/>
    <w:rsid w:val="003615E9"/>
    <w:rsid w:val="00362C0D"/>
    <w:rsid w:val="0036554D"/>
    <w:rsid w:val="003721BB"/>
    <w:rsid w:val="003737C1"/>
    <w:rsid w:val="00373DD0"/>
    <w:rsid w:val="0037401E"/>
    <w:rsid w:val="00374096"/>
    <w:rsid w:val="00375723"/>
    <w:rsid w:val="00375FCE"/>
    <w:rsid w:val="003761BC"/>
    <w:rsid w:val="003768DE"/>
    <w:rsid w:val="00381D0C"/>
    <w:rsid w:val="00382192"/>
    <w:rsid w:val="00383A6B"/>
    <w:rsid w:val="003846D6"/>
    <w:rsid w:val="00393FC8"/>
    <w:rsid w:val="00395B72"/>
    <w:rsid w:val="00395F9B"/>
    <w:rsid w:val="0039683B"/>
    <w:rsid w:val="00396D7D"/>
    <w:rsid w:val="00397D96"/>
    <w:rsid w:val="003A2509"/>
    <w:rsid w:val="003A34A0"/>
    <w:rsid w:val="003A5EB0"/>
    <w:rsid w:val="003B219E"/>
    <w:rsid w:val="003B22F9"/>
    <w:rsid w:val="003B332F"/>
    <w:rsid w:val="003B38E9"/>
    <w:rsid w:val="003B47B2"/>
    <w:rsid w:val="003B7E1B"/>
    <w:rsid w:val="003C01C3"/>
    <w:rsid w:val="003C0E2B"/>
    <w:rsid w:val="003C3109"/>
    <w:rsid w:val="003C7D75"/>
    <w:rsid w:val="003D1FE3"/>
    <w:rsid w:val="003D3D66"/>
    <w:rsid w:val="003E1120"/>
    <w:rsid w:val="003E19CE"/>
    <w:rsid w:val="003E3755"/>
    <w:rsid w:val="003E7660"/>
    <w:rsid w:val="003E788B"/>
    <w:rsid w:val="003F4F1C"/>
    <w:rsid w:val="003F6703"/>
    <w:rsid w:val="003F7740"/>
    <w:rsid w:val="00402893"/>
    <w:rsid w:val="00402C28"/>
    <w:rsid w:val="00403748"/>
    <w:rsid w:val="00403ACA"/>
    <w:rsid w:val="004045D4"/>
    <w:rsid w:val="00405FFB"/>
    <w:rsid w:val="00411614"/>
    <w:rsid w:val="00411A68"/>
    <w:rsid w:val="00412F4D"/>
    <w:rsid w:val="00415410"/>
    <w:rsid w:val="00415EAA"/>
    <w:rsid w:val="00416EC6"/>
    <w:rsid w:val="004178F0"/>
    <w:rsid w:val="00417F94"/>
    <w:rsid w:val="0042209A"/>
    <w:rsid w:val="00422991"/>
    <w:rsid w:val="00424C8D"/>
    <w:rsid w:val="004256A8"/>
    <w:rsid w:val="004261DC"/>
    <w:rsid w:val="00426891"/>
    <w:rsid w:val="00427DC4"/>
    <w:rsid w:val="004302D2"/>
    <w:rsid w:val="00430C0B"/>
    <w:rsid w:val="00435981"/>
    <w:rsid w:val="00440117"/>
    <w:rsid w:val="00442812"/>
    <w:rsid w:val="00442E65"/>
    <w:rsid w:val="00450D1A"/>
    <w:rsid w:val="0045228E"/>
    <w:rsid w:val="004540FB"/>
    <w:rsid w:val="00456B86"/>
    <w:rsid w:val="00462927"/>
    <w:rsid w:val="0046421B"/>
    <w:rsid w:val="00464363"/>
    <w:rsid w:val="00466547"/>
    <w:rsid w:val="00466B02"/>
    <w:rsid w:val="004707F2"/>
    <w:rsid w:val="00472AB2"/>
    <w:rsid w:val="0047475D"/>
    <w:rsid w:val="00474C78"/>
    <w:rsid w:val="00474ED7"/>
    <w:rsid w:val="004758BF"/>
    <w:rsid w:val="00476D2F"/>
    <w:rsid w:val="00481662"/>
    <w:rsid w:val="0048502A"/>
    <w:rsid w:val="004853E9"/>
    <w:rsid w:val="00485422"/>
    <w:rsid w:val="00485FE8"/>
    <w:rsid w:val="004906A1"/>
    <w:rsid w:val="00490E68"/>
    <w:rsid w:val="004919A4"/>
    <w:rsid w:val="0049225A"/>
    <w:rsid w:val="004A009B"/>
    <w:rsid w:val="004A2AFA"/>
    <w:rsid w:val="004A31D5"/>
    <w:rsid w:val="004A3BF4"/>
    <w:rsid w:val="004A4283"/>
    <w:rsid w:val="004A4A5A"/>
    <w:rsid w:val="004A7A1D"/>
    <w:rsid w:val="004A7B9D"/>
    <w:rsid w:val="004B1286"/>
    <w:rsid w:val="004B2967"/>
    <w:rsid w:val="004B61F1"/>
    <w:rsid w:val="004B7139"/>
    <w:rsid w:val="004B7E1E"/>
    <w:rsid w:val="004C23DA"/>
    <w:rsid w:val="004C3F78"/>
    <w:rsid w:val="004C571F"/>
    <w:rsid w:val="004C7671"/>
    <w:rsid w:val="004C798F"/>
    <w:rsid w:val="004C7E57"/>
    <w:rsid w:val="004D0875"/>
    <w:rsid w:val="004D0BE4"/>
    <w:rsid w:val="004D177A"/>
    <w:rsid w:val="004D508E"/>
    <w:rsid w:val="004D5341"/>
    <w:rsid w:val="004D5F52"/>
    <w:rsid w:val="004D7DE1"/>
    <w:rsid w:val="004E2023"/>
    <w:rsid w:val="004E3D2F"/>
    <w:rsid w:val="004E4831"/>
    <w:rsid w:val="004E599A"/>
    <w:rsid w:val="004E5EBD"/>
    <w:rsid w:val="004E6572"/>
    <w:rsid w:val="004E7B60"/>
    <w:rsid w:val="004F05C0"/>
    <w:rsid w:val="004F7081"/>
    <w:rsid w:val="00500232"/>
    <w:rsid w:val="00502C37"/>
    <w:rsid w:val="0050411D"/>
    <w:rsid w:val="0050730B"/>
    <w:rsid w:val="0051036D"/>
    <w:rsid w:val="00511251"/>
    <w:rsid w:val="005126C3"/>
    <w:rsid w:val="00514BA2"/>
    <w:rsid w:val="00515521"/>
    <w:rsid w:val="0051595E"/>
    <w:rsid w:val="00517003"/>
    <w:rsid w:val="005179AF"/>
    <w:rsid w:val="00520E8E"/>
    <w:rsid w:val="00522103"/>
    <w:rsid w:val="00522436"/>
    <w:rsid w:val="00523DCE"/>
    <w:rsid w:val="00524C63"/>
    <w:rsid w:val="00524D51"/>
    <w:rsid w:val="00526511"/>
    <w:rsid w:val="005302C7"/>
    <w:rsid w:val="005303F0"/>
    <w:rsid w:val="00531799"/>
    <w:rsid w:val="0053288C"/>
    <w:rsid w:val="00532C90"/>
    <w:rsid w:val="0053387E"/>
    <w:rsid w:val="00534131"/>
    <w:rsid w:val="00535DE3"/>
    <w:rsid w:val="0053685A"/>
    <w:rsid w:val="00537879"/>
    <w:rsid w:val="00541544"/>
    <w:rsid w:val="00541561"/>
    <w:rsid w:val="005429E1"/>
    <w:rsid w:val="00542F33"/>
    <w:rsid w:val="005433CE"/>
    <w:rsid w:val="00545E9D"/>
    <w:rsid w:val="00550484"/>
    <w:rsid w:val="00550817"/>
    <w:rsid w:val="005524CA"/>
    <w:rsid w:val="005527F9"/>
    <w:rsid w:val="0055304D"/>
    <w:rsid w:val="00553714"/>
    <w:rsid w:val="00554372"/>
    <w:rsid w:val="00555C5A"/>
    <w:rsid w:val="005606EA"/>
    <w:rsid w:val="00560B49"/>
    <w:rsid w:val="00562D1F"/>
    <w:rsid w:val="00563C04"/>
    <w:rsid w:val="00566018"/>
    <w:rsid w:val="00567576"/>
    <w:rsid w:val="00567FE0"/>
    <w:rsid w:val="0057153B"/>
    <w:rsid w:val="00575329"/>
    <w:rsid w:val="00580E7D"/>
    <w:rsid w:val="005827DC"/>
    <w:rsid w:val="005853EB"/>
    <w:rsid w:val="005925D4"/>
    <w:rsid w:val="00593E4B"/>
    <w:rsid w:val="00595287"/>
    <w:rsid w:val="00597357"/>
    <w:rsid w:val="00597441"/>
    <w:rsid w:val="005A2BD2"/>
    <w:rsid w:val="005A4A96"/>
    <w:rsid w:val="005A4BCF"/>
    <w:rsid w:val="005A5C57"/>
    <w:rsid w:val="005B1D76"/>
    <w:rsid w:val="005B61C2"/>
    <w:rsid w:val="005C061A"/>
    <w:rsid w:val="005C09B7"/>
    <w:rsid w:val="005C69B8"/>
    <w:rsid w:val="005C7112"/>
    <w:rsid w:val="005D1601"/>
    <w:rsid w:val="005D6651"/>
    <w:rsid w:val="005E4BCF"/>
    <w:rsid w:val="005E5716"/>
    <w:rsid w:val="005E58EE"/>
    <w:rsid w:val="005E58F8"/>
    <w:rsid w:val="005E6CF5"/>
    <w:rsid w:val="005F10F4"/>
    <w:rsid w:val="005F16EE"/>
    <w:rsid w:val="005F1B30"/>
    <w:rsid w:val="005F37C6"/>
    <w:rsid w:val="005F79CF"/>
    <w:rsid w:val="00600C57"/>
    <w:rsid w:val="0060199E"/>
    <w:rsid w:val="00602F79"/>
    <w:rsid w:val="006053CB"/>
    <w:rsid w:val="00605675"/>
    <w:rsid w:val="0060666A"/>
    <w:rsid w:val="00607C53"/>
    <w:rsid w:val="00610878"/>
    <w:rsid w:val="00611431"/>
    <w:rsid w:val="00612688"/>
    <w:rsid w:val="00613B15"/>
    <w:rsid w:val="00613D80"/>
    <w:rsid w:val="00613EBE"/>
    <w:rsid w:val="00616916"/>
    <w:rsid w:val="006175ED"/>
    <w:rsid w:val="00622924"/>
    <w:rsid w:val="00624662"/>
    <w:rsid w:val="006248EE"/>
    <w:rsid w:val="0062691D"/>
    <w:rsid w:val="006302C5"/>
    <w:rsid w:val="006320D2"/>
    <w:rsid w:val="006333BC"/>
    <w:rsid w:val="00633B2B"/>
    <w:rsid w:val="0063422E"/>
    <w:rsid w:val="0063541E"/>
    <w:rsid w:val="0063611E"/>
    <w:rsid w:val="006367E8"/>
    <w:rsid w:val="00636B15"/>
    <w:rsid w:val="00642CBE"/>
    <w:rsid w:val="0064367D"/>
    <w:rsid w:val="006440C3"/>
    <w:rsid w:val="0065110F"/>
    <w:rsid w:val="0065178C"/>
    <w:rsid w:val="006518E5"/>
    <w:rsid w:val="0065202E"/>
    <w:rsid w:val="00652382"/>
    <w:rsid w:val="0065357C"/>
    <w:rsid w:val="00654B1F"/>
    <w:rsid w:val="00656D21"/>
    <w:rsid w:val="00661A8D"/>
    <w:rsid w:val="00662180"/>
    <w:rsid w:val="00664355"/>
    <w:rsid w:val="006643EF"/>
    <w:rsid w:val="00665FC4"/>
    <w:rsid w:val="00666964"/>
    <w:rsid w:val="00666DB9"/>
    <w:rsid w:val="00667D4D"/>
    <w:rsid w:val="00670A42"/>
    <w:rsid w:val="00671BFB"/>
    <w:rsid w:val="00672A9F"/>
    <w:rsid w:val="00673079"/>
    <w:rsid w:val="006730D5"/>
    <w:rsid w:val="00673554"/>
    <w:rsid w:val="00674036"/>
    <w:rsid w:val="00676060"/>
    <w:rsid w:val="0067726A"/>
    <w:rsid w:val="00680B43"/>
    <w:rsid w:val="006837F9"/>
    <w:rsid w:val="00683E2A"/>
    <w:rsid w:val="006849D2"/>
    <w:rsid w:val="00686E1A"/>
    <w:rsid w:val="0068721B"/>
    <w:rsid w:val="006914F1"/>
    <w:rsid w:val="00691F45"/>
    <w:rsid w:val="00693ADC"/>
    <w:rsid w:val="00694C03"/>
    <w:rsid w:val="006A10FA"/>
    <w:rsid w:val="006A13E9"/>
    <w:rsid w:val="006A2601"/>
    <w:rsid w:val="006A3702"/>
    <w:rsid w:val="006A5B98"/>
    <w:rsid w:val="006A621C"/>
    <w:rsid w:val="006A6A59"/>
    <w:rsid w:val="006B01C4"/>
    <w:rsid w:val="006B109E"/>
    <w:rsid w:val="006B5176"/>
    <w:rsid w:val="006B719D"/>
    <w:rsid w:val="006B7745"/>
    <w:rsid w:val="006C1FF6"/>
    <w:rsid w:val="006C4610"/>
    <w:rsid w:val="006C474E"/>
    <w:rsid w:val="006C6121"/>
    <w:rsid w:val="006C7AD3"/>
    <w:rsid w:val="006C7D07"/>
    <w:rsid w:val="006D0E0F"/>
    <w:rsid w:val="006D1C37"/>
    <w:rsid w:val="006D398D"/>
    <w:rsid w:val="006D3F08"/>
    <w:rsid w:val="006D5FFE"/>
    <w:rsid w:val="006D715D"/>
    <w:rsid w:val="006E0721"/>
    <w:rsid w:val="006E2CDA"/>
    <w:rsid w:val="006E3C8C"/>
    <w:rsid w:val="006E5A73"/>
    <w:rsid w:val="006E5A9E"/>
    <w:rsid w:val="006E5C0F"/>
    <w:rsid w:val="006E712A"/>
    <w:rsid w:val="006E732E"/>
    <w:rsid w:val="006F0D64"/>
    <w:rsid w:val="006F1359"/>
    <w:rsid w:val="006F16B2"/>
    <w:rsid w:val="006F1B3E"/>
    <w:rsid w:val="006F1C6F"/>
    <w:rsid w:val="006F5D26"/>
    <w:rsid w:val="006F655A"/>
    <w:rsid w:val="006F7BDC"/>
    <w:rsid w:val="006F7E66"/>
    <w:rsid w:val="00701529"/>
    <w:rsid w:val="0070185A"/>
    <w:rsid w:val="00701E46"/>
    <w:rsid w:val="00702156"/>
    <w:rsid w:val="00703618"/>
    <w:rsid w:val="00704932"/>
    <w:rsid w:val="0070580E"/>
    <w:rsid w:val="00706C16"/>
    <w:rsid w:val="007073EA"/>
    <w:rsid w:val="00711A03"/>
    <w:rsid w:val="00712D49"/>
    <w:rsid w:val="00712EFC"/>
    <w:rsid w:val="00713F17"/>
    <w:rsid w:val="007201EB"/>
    <w:rsid w:val="00721254"/>
    <w:rsid w:val="00723285"/>
    <w:rsid w:val="007233A0"/>
    <w:rsid w:val="007238B0"/>
    <w:rsid w:val="0072449D"/>
    <w:rsid w:val="00725F12"/>
    <w:rsid w:val="007260E9"/>
    <w:rsid w:val="00732A10"/>
    <w:rsid w:val="00733A14"/>
    <w:rsid w:val="0073657C"/>
    <w:rsid w:val="007408DD"/>
    <w:rsid w:val="00747022"/>
    <w:rsid w:val="00747854"/>
    <w:rsid w:val="00751C87"/>
    <w:rsid w:val="007531A1"/>
    <w:rsid w:val="007541B1"/>
    <w:rsid w:val="00763110"/>
    <w:rsid w:val="00763422"/>
    <w:rsid w:val="007640C1"/>
    <w:rsid w:val="00764C28"/>
    <w:rsid w:val="007660C7"/>
    <w:rsid w:val="0077189E"/>
    <w:rsid w:val="0077461A"/>
    <w:rsid w:val="00774BFE"/>
    <w:rsid w:val="00777BA8"/>
    <w:rsid w:val="00780701"/>
    <w:rsid w:val="007822CC"/>
    <w:rsid w:val="00785241"/>
    <w:rsid w:val="00785B8B"/>
    <w:rsid w:val="00785CFE"/>
    <w:rsid w:val="007863F2"/>
    <w:rsid w:val="00787A12"/>
    <w:rsid w:val="00793E0A"/>
    <w:rsid w:val="00794595"/>
    <w:rsid w:val="00795CE5"/>
    <w:rsid w:val="00795E14"/>
    <w:rsid w:val="007A151B"/>
    <w:rsid w:val="007A52B8"/>
    <w:rsid w:val="007A63BF"/>
    <w:rsid w:val="007A7107"/>
    <w:rsid w:val="007B19E0"/>
    <w:rsid w:val="007B2237"/>
    <w:rsid w:val="007B3154"/>
    <w:rsid w:val="007B64BC"/>
    <w:rsid w:val="007C0E82"/>
    <w:rsid w:val="007C283F"/>
    <w:rsid w:val="007C4FCD"/>
    <w:rsid w:val="007C5367"/>
    <w:rsid w:val="007C7985"/>
    <w:rsid w:val="007D3C81"/>
    <w:rsid w:val="007D5668"/>
    <w:rsid w:val="007D5E0D"/>
    <w:rsid w:val="007D601A"/>
    <w:rsid w:val="007D6D0D"/>
    <w:rsid w:val="007E0EDC"/>
    <w:rsid w:val="007E1206"/>
    <w:rsid w:val="007E218E"/>
    <w:rsid w:val="007E5DA6"/>
    <w:rsid w:val="007E7F84"/>
    <w:rsid w:val="007F017C"/>
    <w:rsid w:val="007F1231"/>
    <w:rsid w:val="007F51EA"/>
    <w:rsid w:val="007F53DE"/>
    <w:rsid w:val="007F6AF8"/>
    <w:rsid w:val="007F7B5C"/>
    <w:rsid w:val="00801D4D"/>
    <w:rsid w:val="00804716"/>
    <w:rsid w:val="00805519"/>
    <w:rsid w:val="00806E33"/>
    <w:rsid w:val="00815200"/>
    <w:rsid w:val="00820EDD"/>
    <w:rsid w:val="0082171C"/>
    <w:rsid w:val="00822A43"/>
    <w:rsid w:val="00823641"/>
    <w:rsid w:val="00823FEC"/>
    <w:rsid w:val="00825695"/>
    <w:rsid w:val="00826566"/>
    <w:rsid w:val="0082683B"/>
    <w:rsid w:val="00830160"/>
    <w:rsid w:val="00830477"/>
    <w:rsid w:val="008307FB"/>
    <w:rsid w:val="00830DA8"/>
    <w:rsid w:val="00831147"/>
    <w:rsid w:val="00831AC4"/>
    <w:rsid w:val="00831D85"/>
    <w:rsid w:val="008327C9"/>
    <w:rsid w:val="008336C6"/>
    <w:rsid w:val="00834A0F"/>
    <w:rsid w:val="00836493"/>
    <w:rsid w:val="0083794A"/>
    <w:rsid w:val="008416C2"/>
    <w:rsid w:val="00845133"/>
    <w:rsid w:val="00845288"/>
    <w:rsid w:val="008463C3"/>
    <w:rsid w:val="00846DA2"/>
    <w:rsid w:val="008524D7"/>
    <w:rsid w:val="008531F0"/>
    <w:rsid w:val="00855037"/>
    <w:rsid w:val="00860923"/>
    <w:rsid w:val="00861FFC"/>
    <w:rsid w:val="00863047"/>
    <w:rsid w:val="008632D3"/>
    <w:rsid w:val="00863E94"/>
    <w:rsid w:val="00865243"/>
    <w:rsid w:val="00866536"/>
    <w:rsid w:val="0086729B"/>
    <w:rsid w:val="0087482B"/>
    <w:rsid w:val="00874E8C"/>
    <w:rsid w:val="008767DB"/>
    <w:rsid w:val="008775AC"/>
    <w:rsid w:val="008800AB"/>
    <w:rsid w:val="00880893"/>
    <w:rsid w:val="00881017"/>
    <w:rsid w:val="00882986"/>
    <w:rsid w:val="0088396C"/>
    <w:rsid w:val="00884F69"/>
    <w:rsid w:val="008857A8"/>
    <w:rsid w:val="00885AB2"/>
    <w:rsid w:val="00886491"/>
    <w:rsid w:val="0088699E"/>
    <w:rsid w:val="008870AB"/>
    <w:rsid w:val="00887202"/>
    <w:rsid w:val="008912EF"/>
    <w:rsid w:val="0089181E"/>
    <w:rsid w:val="008932AA"/>
    <w:rsid w:val="00894596"/>
    <w:rsid w:val="00895300"/>
    <w:rsid w:val="008A04D1"/>
    <w:rsid w:val="008A1C96"/>
    <w:rsid w:val="008A1D29"/>
    <w:rsid w:val="008A22C2"/>
    <w:rsid w:val="008A56C4"/>
    <w:rsid w:val="008A7353"/>
    <w:rsid w:val="008B0A9C"/>
    <w:rsid w:val="008B2861"/>
    <w:rsid w:val="008B3441"/>
    <w:rsid w:val="008B3F8B"/>
    <w:rsid w:val="008B5872"/>
    <w:rsid w:val="008C1269"/>
    <w:rsid w:val="008C4DE7"/>
    <w:rsid w:val="008C4F14"/>
    <w:rsid w:val="008C535A"/>
    <w:rsid w:val="008C5B44"/>
    <w:rsid w:val="008C72BD"/>
    <w:rsid w:val="008D2AE3"/>
    <w:rsid w:val="008D3584"/>
    <w:rsid w:val="008D5AC7"/>
    <w:rsid w:val="008E0CA0"/>
    <w:rsid w:val="008E15C1"/>
    <w:rsid w:val="008E1778"/>
    <w:rsid w:val="008E267E"/>
    <w:rsid w:val="008E48C6"/>
    <w:rsid w:val="008E6D07"/>
    <w:rsid w:val="008E7877"/>
    <w:rsid w:val="008F11D6"/>
    <w:rsid w:val="008F2E4D"/>
    <w:rsid w:val="008F349C"/>
    <w:rsid w:val="008F3EB8"/>
    <w:rsid w:val="008F6554"/>
    <w:rsid w:val="00901A65"/>
    <w:rsid w:val="009031DF"/>
    <w:rsid w:val="00905014"/>
    <w:rsid w:val="00910A76"/>
    <w:rsid w:val="00911000"/>
    <w:rsid w:val="00915B5B"/>
    <w:rsid w:val="009162C1"/>
    <w:rsid w:val="0092461B"/>
    <w:rsid w:val="00926DFF"/>
    <w:rsid w:val="00926E73"/>
    <w:rsid w:val="00933C70"/>
    <w:rsid w:val="009341C3"/>
    <w:rsid w:val="00935332"/>
    <w:rsid w:val="00935B20"/>
    <w:rsid w:val="00937A8E"/>
    <w:rsid w:val="00941899"/>
    <w:rsid w:val="00941EB0"/>
    <w:rsid w:val="00942A68"/>
    <w:rsid w:val="00944AD1"/>
    <w:rsid w:val="009468F9"/>
    <w:rsid w:val="00946C58"/>
    <w:rsid w:val="00950E8C"/>
    <w:rsid w:val="009514AF"/>
    <w:rsid w:val="00954D4B"/>
    <w:rsid w:val="009574BB"/>
    <w:rsid w:val="00960F2D"/>
    <w:rsid w:val="009637D0"/>
    <w:rsid w:val="0096447F"/>
    <w:rsid w:val="00964B9B"/>
    <w:rsid w:val="00966F00"/>
    <w:rsid w:val="00967B6B"/>
    <w:rsid w:val="00972AA9"/>
    <w:rsid w:val="00972BDE"/>
    <w:rsid w:val="00981A3B"/>
    <w:rsid w:val="00982B99"/>
    <w:rsid w:val="009838EC"/>
    <w:rsid w:val="00986150"/>
    <w:rsid w:val="009878C7"/>
    <w:rsid w:val="009907E4"/>
    <w:rsid w:val="00991FB8"/>
    <w:rsid w:val="00994BC0"/>
    <w:rsid w:val="009A0790"/>
    <w:rsid w:val="009A3CA3"/>
    <w:rsid w:val="009A5A02"/>
    <w:rsid w:val="009A5C09"/>
    <w:rsid w:val="009A64C1"/>
    <w:rsid w:val="009A6A93"/>
    <w:rsid w:val="009B40FF"/>
    <w:rsid w:val="009B6CEE"/>
    <w:rsid w:val="009B73F1"/>
    <w:rsid w:val="009C2755"/>
    <w:rsid w:val="009C462B"/>
    <w:rsid w:val="009C4E27"/>
    <w:rsid w:val="009C5EEA"/>
    <w:rsid w:val="009C7491"/>
    <w:rsid w:val="009C7503"/>
    <w:rsid w:val="009D018C"/>
    <w:rsid w:val="009D0945"/>
    <w:rsid w:val="009D12EA"/>
    <w:rsid w:val="009D1621"/>
    <w:rsid w:val="009D212F"/>
    <w:rsid w:val="009D27B0"/>
    <w:rsid w:val="009D29A9"/>
    <w:rsid w:val="009D6A69"/>
    <w:rsid w:val="009D7745"/>
    <w:rsid w:val="009E0494"/>
    <w:rsid w:val="009E0C77"/>
    <w:rsid w:val="009E1FCD"/>
    <w:rsid w:val="009E2C2F"/>
    <w:rsid w:val="009E311D"/>
    <w:rsid w:val="009E335B"/>
    <w:rsid w:val="009E3952"/>
    <w:rsid w:val="009E5635"/>
    <w:rsid w:val="009F04E6"/>
    <w:rsid w:val="009F319B"/>
    <w:rsid w:val="009F6C70"/>
    <w:rsid w:val="009F6EC1"/>
    <w:rsid w:val="00A0179E"/>
    <w:rsid w:val="00A03A01"/>
    <w:rsid w:val="00A07FF1"/>
    <w:rsid w:val="00A11534"/>
    <w:rsid w:val="00A11C54"/>
    <w:rsid w:val="00A13608"/>
    <w:rsid w:val="00A151FB"/>
    <w:rsid w:val="00A154AF"/>
    <w:rsid w:val="00A16C5C"/>
    <w:rsid w:val="00A171B3"/>
    <w:rsid w:val="00A20570"/>
    <w:rsid w:val="00A243DE"/>
    <w:rsid w:val="00A252B6"/>
    <w:rsid w:val="00A30A8D"/>
    <w:rsid w:val="00A330EF"/>
    <w:rsid w:val="00A37583"/>
    <w:rsid w:val="00A4120F"/>
    <w:rsid w:val="00A452B6"/>
    <w:rsid w:val="00A456B7"/>
    <w:rsid w:val="00A465EE"/>
    <w:rsid w:val="00A47584"/>
    <w:rsid w:val="00A47A9C"/>
    <w:rsid w:val="00A51BC2"/>
    <w:rsid w:val="00A52F39"/>
    <w:rsid w:val="00A54F78"/>
    <w:rsid w:val="00A54FA6"/>
    <w:rsid w:val="00A56ECA"/>
    <w:rsid w:val="00A611EA"/>
    <w:rsid w:val="00A626DB"/>
    <w:rsid w:val="00A63E4A"/>
    <w:rsid w:val="00A6491A"/>
    <w:rsid w:val="00A66E11"/>
    <w:rsid w:val="00A71170"/>
    <w:rsid w:val="00A712F6"/>
    <w:rsid w:val="00A731F3"/>
    <w:rsid w:val="00A74F32"/>
    <w:rsid w:val="00A77DD6"/>
    <w:rsid w:val="00A808E8"/>
    <w:rsid w:val="00A80AF4"/>
    <w:rsid w:val="00A80B0A"/>
    <w:rsid w:val="00A8295B"/>
    <w:rsid w:val="00A82ABB"/>
    <w:rsid w:val="00A8787A"/>
    <w:rsid w:val="00A9032C"/>
    <w:rsid w:val="00A91891"/>
    <w:rsid w:val="00A92EFD"/>
    <w:rsid w:val="00A937DB"/>
    <w:rsid w:val="00A93D8E"/>
    <w:rsid w:val="00A95685"/>
    <w:rsid w:val="00A966F0"/>
    <w:rsid w:val="00AA06E8"/>
    <w:rsid w:val="00AA0B47"/>
    <w:rsid w:val="00AA1E41"/>
    <w:rsid w:val="00AA2287"/>
    <w:rsid w:val="00AA3E38"/>
    <w:rsid w:val="00AA5FFB"/>
    <w:rsid w:val="00AB21B6"/>
    <w:rsid w:val="00AB239C"/>
    <w:rsid w:val="00AB582C"/>
    <w:rsid w:val="00AB5A49"/>
    <w:rsid w:val="00AB6AC8"/>
    <w:rsid w:val="00AB7223"/>
    <w:rsid w:val="00AC38CD"/>
    <w:rsid w:val="00AC5011"/>
    <w:rsid w:val="00AC54FF"/>
    <w:rsid w:val="00AC5FF2"/>
    <w:rsid w:val="00AC739F"/>
    <w:rsid w:val="00AC7901"/>
    <w:rsid w:val="00AD02D6"/>
    <w:rsid w:val="00AD2776"/>
    <w:rsid w:val="00AD7645"/>
    <w:rsid w:val="00AE27B0"/>
    <w:rsid w:val="00AE2FB0"/>
    <w:rsid w:val="00AE5B46"/>
    <w:rsid w:val="00AE5DBA"/>
    <w:rsid w:val="00AE6466"/>
    <w:rsid w:val="00AE6AC1"/>
    <w:rsid w:val="00AE6F54"/>
    <w:rsid w:val="00AF0979"/>
    <w:rsid w:val="00AF1F23"/>
    <w:rsid w:val="00AF3681"/>
    <w:rsid w:val="00AF3BB3"/>
    <w:rsid w:val="00AF5CB7"/>
    <w:rsid w:val="00AF74C5"/>
    <w:rsid w:val="00B00512"/>
    <w:rsid w:val="00B00C2A"/>
    <w:rsid w:val="00B0360A"/>
    <w:rsid w:val="00B04671"/>
    <w:rsid w:val="00B12BFF"/>
    <w:rsid w:val="00B134D2"/>
    <w:rsid w:val="00B21376"/>
    <w:rsid w:val="00B22D5A"/>
    <w:rsid w:val="00B23A53"/>
    <w:rsid w:val="00B255AF"/>
    <w:rsid w:val="00B27696"/>
    <w:rsid w:val="00B306AB"/>
    <w:rsid w:val="00B31522"/>
    <w:rsid w:val="00B31BD3"/>
    <w:rsid w:val="00B32031"/>
    <w:rsid w:val="00B326C2"/>
    <w:rsid w:val="00B32AE3"/>
    <w:rsid w:val="00B35B92"/>
    <w:rsid w:val="00B3697A"/>
    <w:rsid w:val="00B36F74"/>
    <w:rsid w:val="00B378DD"/>
    <w:rsid w:val="00B40A4C"/>
    <w:rsid w:val="00B416B0"/>
    <w:rsid w:val="00B5048D"/>
    <w:rsid w:val="00B52425"/>
    <w:rsid w:val="00B53615"/>
    <w:rsid w:val="00B53E8A"/>
    <w:rsid w:val="00B54C29"/>
    <w:rsid w:val="00B5785E"/>
    <w:rsid w:val="00B57B69"/>
    <w:rsid w:val="00B60655"/>
    <w:rsid w:val="00B6104B"/>
    <w:rsid w:val="00B631AC"/>
    <w:rsid w:val="00B636EA"/>
    <w:rsid w:val="00B63850"/>
    <w:rsid w:val="00B648DA"/>
    <w:rsid w:val="00B70DD6"/>
    <w:rsid w:val="00B77B25"/>
    <w:rsid w:val="00B84359"/>
    <w:rsid w:val="00B848DD"/>
    <w:rsid w:val="00B87945"/>
    <w:rsid w:val="00B91404"/>
    <w:rsid w:val="00B92F5F"/>
    <w:rsid w:val="00B958FC"/>
    <w:rsid w:val="00B964AB"/>
    <w:rsid w:val="00B96600"/>
    <w:rsid w:val="00B96748"/>
    <w:rsid w:val="00B97F44"/>
    <w:rsid w:val="00BA0404"/>
    <w:rsid w:val="00BA0969"/>
    <w:rsid w:val="00BA19A0"/>
    <w:rsid w:val="00BA28DB"/>
    <w:rsid w:val="00BA3B55"/>
    <w:rsid w:val="00BA609C"/>
    <w:rsid w:val="00BA78FB"/>
    <w:rsid w:val="00BB0D4D"/>
    <w:rsid w:val="00BB15D6"/>
    <w:rsid w:val="00BB1E59"/>
    <w:rsid w:val="00BB2FAE"/>
    <w:rsid w:val="00BB33FD"/>
    <w:rsid w:val="00BB347F"/>
    <w:rsid w:val="00BB68C9"/>
    <w:rsid w:val="00BB6C16"/>
    <w:rsid w:val="00BC04EA"/>
    <w:rsid w:val="00BC0977"/>
    <w:rsid w:val="00BC59F4"/>
    <w:rsid w:val="00BC79C6"/>
    <w:rsid w:val="00BD0C32"/>
    <w:rsid w:val="00BD2492"/>
    <w:rsid w:val="00BD2D49"/>
    <w:rsid w:val="00BD415A"/>
    <w:rsid w:val="00BD4EFA"/>
    <w:rsid w:val="00BD77B8"/>
    <w:rsid w:val="00BE0059"/>
    <w:rsid w:val="00BE1D86"/>
    <w:rsid w:val="00BE236D"/>
    <w:rsid w:val="00BE488E"/>
    <w:rsid w:val="00BE5178"/>
    <w:rsid w:val="00BF132D"/>
    <w:rsid w:val="00BF2053"/>
    <w:rsid w:val="00BF25C8"/>
    <w:rsid w:val="00BF3B62"/>
    <w:rsid w:val="00BF6757"/>
    <w:rsid w:val="00C00467"/>
    <w:rsid w:val="00C0108B"/>
    <w:rsid w:val="00C012B4"/>
    <w:rsid w:val="00C04DA8"/>
    <w:rsid w:val="00C05D32"/>
    <w:rsid w:val="00C0647E"/>
    <w:rsid w:val="00C07AB7"/>
    <w:rsid w:val="00C1021F"/>
    <w:rsid w:val="00C10753"/>
    <w:rsid w:val="00C10A58"/>
    <w:rsid w:val="00C112A1"/>
    <w:rsid w:val="00C115F1"/>
    <w:rsid w:val="00C11E63"/>
    <w:rsid w:val="00C1234C"/>
    <w:rsid w:val="00C127BC"/>
    <w:rsid w:val="00C12AF0"/>
    <w:rsid w:val="00C1371D"/>
    <w:rsid w:val="00C1435D"/>
    <w:rsid w:val="00C15E38"/>
    <w:rsid w:val="00C1693B"/>
    <w:rsid w:val="00C17161"/>
    <w:rsid w:val="00C17602"/>
    <w:rsid w:val="00C17E24"/>
    <w:rsid w:val="00C2068D"/>
    <w:rsid w:val="00C206E8"/>
    <w:rsid w:val="00C22A26"/>
    <w:rsid w:val="00C234A9"/>
    <w:rsid w:val="00C245F6"/>
    <w:rsid w:val="00C2740F"/>
    <w:rsid w:val="00C27E8F"/>
    <w:rsid w:val="00C31A83"/>
    <w:rsid w:val="00C3329D"/>
    <w:rsid w:val="00C35203"/>
    <w:rsid w:val="00C37452"/>
    <w:rsid w:val="00C379CA"/>
    <w:rsid w:val="00C40198"/>
    <w:rsid w:val="00C40AA1"/>
    <w:rsid w:val="00C41AF2"/>
    <w:rsid w:val="00C41BBB"/>
    <w:rsid w:val="00C45930"/>
    <w:rsid w:val="00C47FEC"/>
    <w:rsid w:val="00C5235C"/>
    <w:rsid w:val="00C53109"/>
    <w:rsid w:val="00C53A7A"/>
    <w:rsid w:val="00C54ABB"/>
    <w:rsid w:val="00C57823"/>
    <w:rsid w:val="00C606D3"/>
    <w:rsid w:val="00C63449"/>
    <w:rsid w:val="00C64387"/>
    <w:rsid w:val="00C66431"/>
    <w:rsid w:val="00C6703E"/>
    <w:rsid w:val="00C67093"/>
    <w:rsid w:val="00C6710A"/>
    <w:rsid w:val="00C707C4"/>
    <w:rsid w:val="00C718E0"/>
    <w:rsid w:val="00C71D34"/>
    <w:rsid w:val="00C734D2"/>
    <w:rsid w:val="00C77E41"/>
    <w:rsid w:val="00C81A96"/>
    <w:rsid w:val="00C84C5E"/>
    <w:rsid w:val="00C905AE"/>
    <w:rsid w:val="00C91AC9"/>
    <w:rsid w:val="00C92B14"/>
    <w:rsid w:val="00C9349B"/>
    <w:rsid w:val="00C948C6"/>
    <w:rsid w:val="00C96C2B"/>
    <w:rsid w:val="00C97BEA"/>
    <w:rsid w:val="00C97EB3"/>
    <w:rsid w:val="00CA0825"/>
    <w:rsid w:val="00CA0904"/>
    <w:rsid w:val="00CA360C"/>
    <w:rsid w:val="00CB1200"/>
    <w:rsid w:val="00CB1263"/>
    <w:rsid w:val="00CB2496"/>
    <w:rsid w:val="00CB7266"/>
    <w:rsid w:val="00CB7A11"/>
    <w:rsid w:val="00CB7B35"/>
    <w:rsid w:val="00CC181B"/>
    <w:rsid w:val="00CC3169"/>
    <w:rsid w:val="00CD083A"/>
    <w:rsid w:val="00CD3251"/>
    <w:rsid w:val="00CD3B33"/>
    <w:rsid w:val="00CD4D94"/>
    <w:rsid w:val="00CE14D6"/>
    <w:rsid w:val="00CE15B4"/>
    <w:rsid w:val="00CE1831"/>
    <w:rsid w:val="00CE7B90"/>
    <w:rsid w:val="00CF0CF5"/>
    <w:rsid w:val="00CF425B"/>
    <w:rsid w:val="00CF43D8"/>
    <w:rsid w:val="00D0066B"/>
    <w:rsid w:val="00D007E0"/>
    <w:rsid w:val="00D0162C"/>
    <w:rsid w:val="00D02111"/>
    <w:rsid w:val="00D02D91"/>
    <w:rsid w:val="00D03EA2"/>
    <w:rsid w:val="00D0486E"/>
    <w:rsid w:val="00D04E13"/>
    <w:rsid w:val="00D0566C"/>
    <w:rsid w:val="00D05EB0"/>
    <w:rsid w:val="00D06042"/>
    <w:rsid w:val="00D07A9D"/>
    <w:rsid w:val="00D10DF7"/>
    <w:rsid w:val="00D12CBA"/>
    <w:rsid w:val="00D14551"/>
    <w:rsid w:val="00D14AC4"/>
    <w:rsid w:val="00D15B55"/>
    <w:rsid w:val="00D1781B"/>
    <w:rsid w:val="00D235E6"/>
    <w:rsid w:val="00D23876"/>
    <w:rsid w:val="00D25184"/>
    <w:rsid w:val="00D31716"/>
    <w:rsid w:val="00D319D8"/>
    <w:rsid w:val="00D340E2"/>
    <w:rsid w:val="00D34527"/>
    <w:rsid w:val="00D366C3"/>
    <w:rsid w:val="00D370CF"/>
    <w:rsid w:val="00D37C1F"/>
    <w:rsid w:val="00D4046A"/>
    <w:rsid w:val="00D430DC"/>
    <w:rsid w:val="00D43FC1"/>
    <w:rsid w:val="00D455E3"/>
    <w:rsid w:val="00D47F24"/>
    <w:rsid w:val="00D50888"/>
    <w:rsid w:val="00D518E5"/>
    <w:rsid w:val="00D52F0C"/>
    <w:rsid w:val="00D537FD"/>
    <w:rsid w:val="00D542E9"/>
    <w:rsid w:val="00D54303"/>
    <w:rsid w:val="00D5446E"/>
    <w:rsid w:val="00D56451"/>
    <w:rsid w:val="00D578AE"/>
    <w:rsid w:val="00D602E5"/>
    <w:rsid w:val="00D6170E"/>
    <w:rsid w:val="00D61754"/>
    <w:rsid w:val="00D62B44"/>
    <w:rsid w:val="00D630E2"/>
    <w:rsid w:val="00D63360"/>
    <w:rsid w:val="00D636FD"/>
    <w:rsid w:val="00D63E5A"/>
    <w:rsid w:val="00D64268"/>
    <w:rsid w:val="00D64543"/>
    <w:rsid w:val="00D6567F"/>
    <w:rsid w:val="00D66CC7"/>
    <w:rsid w:val="00D711FF"/>
    <w:rsid w:val="00D713DA"/>
    <w:rsid w:val="00D7148F"/>
    <w:rsid w:val="00D71A11"/>
    <w:rsid w:val="00D73A79"/>
    <w:rsid w:val="00D74044"/>
    <w:rsid w:val="00D744E5"/>
    <w:rsid w:val="00D74774"/>
    <w:rsid w:val="00D76EA4"/>
    <w:rsid w:val="00D81ACE"/>
    <w:rsid w:val="00D81CBC"/>
    <w:rsid w:val="00D85FBC"/>
    <w:rsid w:val="00D8684D"/>
    <w:rsid w:val="00D86CCE"/>
    <w:rsid w:val="00D922F7"/>
    <w:rsid w:val="00D92D55"/>
    <w:rsid w:val="00D93767"/>
    <w:rsid w:val="00D94EED"/>
    <w:rsid w:val="00D9515A"/>
    <w:rsid w:val="00D95987"/>
    <w:rsid w:val="00D97FC8"/>
    <w:rsid w:val="00DA0ABA"/>
    <w:rsid w:val="00DA1120"/>
    <w:rsid w:val="00DA1345"/>
    <w:rsid w:val="00DA3498"/>
    <w:rsid w:val="00DA34B5"/>
    <w:rsid w:val="00DA3C68"/>
    <w:rsid w:val="00DA5A25"/>
    <w:rsid w:val="00DA5FAC"/>
    <w:rsid w:val="00DA7230"/>
    <w:rsid w:val="00DB0509"/>
    <w:rsid w:val="00DB0F0B"/>
    <w:rsid w:val="00DB14B1"/>
    <w:rsid w:val="00DB3424"/>
    <w:rsid w:val="00DB45D8"/>
    <w:rsid w:val="00DC1628"/>
    <w:rsid w:val="00DC40BD"/>
    <w:rsid w:val="00DC52E1"/>
    <w:rsid w:val="00DD21D4"/>
    <w:rsid w:val="00DD2A51"/>
    <w:rsid w:val="00DD4F3B"/>
    <w:rsid w:val="00DD66D8"/>
    <w:rsid w:val="00DD7DF6"/>
    <w:rsid w:val="00DD7E81"/>
    <w:rsid w:val="00DE1D40"/>
    <w:rsid w:val="00DE303C"/>
    <w:rsid w:val="00DE3297"/>
    <w:rsid w:val="00DE5AD4"/>
    <w:rsid w:val="00DE7AFD"/>
    <w:rsid w:val="00DF0E11"/>
    <w:rsid w:val="00DF1B46"/>
    <w:rsid w:val="00DF566F"/>
    <w:rsid w:val="00DF5E05"/>
    <w:rsid w:val="00DF647B"/>
    <w:rsid w:val="00E02125"/>
    <w:rsid w:val="00E03A67"/>
    <w:rsid w:val="00E06D68"/>
    <w:rsid w:val="00E072A5"/>
    <w:rsid w:val="00E07929"/>
    <w:rsid w:val="00E07946"/>
    <w:rsid w:val="00E10BB4"/>
    <w:rsid w:val="00E12244"/>
    <w:rsid w:val="00E15224"/>
    <w:rsid w:val="00E15C35"/>
    <w:rsid w:val="00E15EEB"/>
    <w:rsid w:val="00E160D8"/>
    <w:rsid w:val="00E16780"/>
    <w:rsid w:val="00E17845"/>
    <w:rsid w:val="00E17AB2"/>
    <w:rsid w:val="00E2095E"/>
    <w:rsid w:val="00E20AAB"/>
    <w:rsid w:val="00E21A00"/>
    <w:rsid w:val="00E2212F"/>
    <w:rsid w:val="00E22867"/>
    <w:rsid w:val="00E266C4"/>
    <w:rsid w:val="00E34E1C"/>
    <w:rsid w:val="00E36E78"/>
    <w:rsid w:val="00E37295"/>
    <w:rsid w:val="00E37CF8"/>
    <w:rsid w:val="00E4164C"/>
    <w:rsid w:val="00E41971"/>
    <w:rsid w:val="00E41A69"/>
    <w:rsid w:val="00E429F9"/>
    <w:rsid w:val="00E42ACA"/>
    <w:rsid w:val="00E4304F"/>
    <w:rsid w:val="00E47B8C"/>
    <w:rsid w:val="00E50DC7"/>
    <w:rsid w:val="00E53A3F"/>
    <w:rsid w:val="00E54DAA"/>
    <w:rsid w:val="00E573F8"/>
    <w:rsid w:val="00E578D1"/>
    <w:rsid w:val="00E6012A"/>
    <w:rsid w:val="00E606C2"/>
    <w:rsid w:val="00E611F6"/>
    <w:rsid w:val="00E62BF6"/>
    <w:rsid w:val="00E63080"/>
    <w:rsid w:val="00E63BB9"/>
    <w:rsid w:val="00E64006"/>
    <w:rsid w:val="00E65C9D"/>
    <w:rsid w:val="00E67FD4"/>
    <w:rsid w:val="00E737BF"/>
    <w:rsid w:val="00E74FBD"/>
    <w:rsid w:val="00E7514F"/>
    <w:rsid w:val="00E7525D"/>
    <w:rsid w:val="00E7676D"/>
    <w:rsid w:val="00E77873"/>
    <w:rsid w:val="00E77B81"/>
    <w:rsid w:val="00E818D4"/>
    <w:rsid w:val="00E833B1"/>
    <w:rsid w:val="00E83CA8"/>
    <w:rsid w:val="00E83E00"/>
    <w:rsid w:val="00E84213"/>
    <w:rsid w:val="00E84E0B"/>
    <w:rsid w:val="00E856F2"/>
    <w:rsid w:val="00E86445"/>
    <w:rsid w:val="00E910FF"/>
    <w:rsid w:val="00E92E08"/>
    <w:rsid w:val="00E95883"/>
    <w:rsid w:val="00E962CD"/>
    <w:rsid w:val="00EA1A6C"/>
    <w:rsid w:val="00EA406A"/>
    <w:rsid w:val="00EA416D"/>
    <w:rsid w:val="00EA4703"/>
    <w:rsid w:val="00EA4981"/>
    <w:rsid w:val="00EA7B6A"/>
    <w:rsid w:val="00EB104A"/>
    <w:rsid w:val="00EB58DB"/>
    <w:rsid w:val="00EB7D33"/>
    <w:rsid w:val="00EC3989"/>
    <w:rsid w:val="00EC3EB8"/>
    <w:rsid w:val="00EC42F3"/>
    <w:rsid w:val="00EC5947"/>
    <w:rsid w:val="00ED34A7"/>
    <w:rsid w:val="00ED442A"/>
    <w:rsid w:val="00ED4E5B"/>
    <w:rsid w:val="00EE1F45"/>
    <w:rsid w:val="00EE2970"/>
    <w:rsid w:val="00EE3731"/>
    <w:rsid w:val="00EF0633"/>
    <w:rsid w:val="00EF1277"/>
    <w:rsid w:val="00EF23EF"/>
    <w:rsid w:val="00EF365F"/>
    <w:rsid w:val="00EF39AC"/>
    <w:rsid w:val="00EF4E32"/>
    <w:rsid w:val="00EF60D4"/>
    <w:rsid w:val="00EF7E4C"/>
    <w:rsid w:val="00F01DDB"/>
    <w:rsid w:val="00F02AA6"/>
    <w:rsid w:val="00F0521E"/>
    <w:rsid w:val="00F06858"/>
    <w:rsid w:val="00F1113D"/>
    <w:rsid w:val="00F12701"/>
    <w:rsid w:val="00F13379"/>
    <w:rsid w:val="00F22AEA"/>
    <w:rsid w:val="00F2498F"/>
    <w:rsid w:val="00F2580E"/>
    <w:rsid w:val="00F25A1E"/>
    <w:rsid w:val="00F27994"/>
    <w:rsid w:val="00F27AB5"/>
    <w:rsid w:val="00F303BC"/>
    <w:rsid w:val="00F332EC"/>
    <w:rsid w:val="00F3383A"/>
    <w:rsid w:val="00F352D0"/>
    <w:rsid w:val="00F40956"/>
    <w:rsid w:val="00F41C0E"/>
    <w:rsid w:val="00F43A8F"/>
    <w:rsid w:val="00F43B01"/>
    <w:rsid w:val="00F514CA"/>
    <w:rsid w:val="00F53561"/>
    <w:rsid w:val="00F57680"/>
    <w:rsid w:val="00F60CD3"/>
    <w:rsid w:val="00F61047"/>
    <w:rsid w:val="00F6172E"/>
    <w:rsid w:val="00F647E9"/>
    <w:rsid w:val="00F65176"/>
    <w:rsid w:val="00F72173"/>
    <w:rsid w:val="00F73182"/>
    <w:rsid w:val="00F74237"/>
    <w:rsid w:val="00F814B9"/>
    <w:rsid w:val="00F81A5D"/>
    <w:rsid w:val="00F81CEE"/>
    <w:rsid w:val="00F8237C"/>
    <w:rsid w:val="00F85462"/>
    <w:rsid w:val="00F91A7B"/>
    <w:rsid w:val="00F94AED"/>
    <w:rsid w:val="00F96FAA"/>
    <w:rsid w:val="00FA1257"/>
    <w:rsid w:val="00FA2207"/>
    <w:rsid w:val="00FA29F6"/>
    <w:rsid w:val="00FA2C38"/>
    <w:rsid w:val="00FA3215"/>
    <w:rsid w:val="00FA3629"/>
    <w:rsid w:val="00FA5EF2"/>
    <w:rsid w:val="00FA674D"/>
    <w:rsid w:val="00FA756A"/>
    <w:rsid w:val="00FA78EE"/>
    <w:rsid w:val="00FB18C1"/>
    <w:rsid w:val="00FB1CD9"/>
    <w:rsid w:val="00FB3ECE"/>
    <w:rsid w:val="00FB40D5"/>
    <w:rsid w:val="00FB4D77"/>
    <w:rsid w:val="00FB51E2"/>
    <w:rsid w:val="00FB5C86"/>
    <w:rsid w:val="00FC013A"/>
    <w:rsid w:val="00FC4644"/>
    <w:rsid w:val="00FC5EBA"/>
    <w:rsid w:val="00FD0525"/>
    <w:rsid w:val="00FD0A6B"/>
    <w:rsid w:val="00FD16E7"/>
    <w:rsid w:val="00FD34DE"/>
    <w:rsid w:val="00FD3D08"/>
    <w:rsid w:val="00FD68D5"/>
    <w:rsid w:val="00FD6C0C"/>
    <w:rsid w:val="00FE482B"/>
    <w:rsid w:val="00FE4C97"/>
    <w:rsid w:val="00FE68E3"/>
    <w:rsid w:val="00FE6A4D"/>
    <w:rsid w:val="00FE7A03"/>
    <w:rsid w:val="00FF0185"/>
    <w:rsid w:val="00FF248B"/>
    <w:rsid w:val="00FF3216"/>
    <w:rsid w:val="00FF4DEE"/>
    <w:rsid w:val="00FF6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2737"/>
    <o:shapelayout v:ext="edit">
      <o:idmap v:ext="edit" data="1"/>
    </o:shapelayout>
  </w:shapeDefaults>
  <w:decimalSymbol w:val="."/>
  <w:listSeparator w:val=","/>
  <w14:docId w14:val="2AB68EFD"/>
  <w15:docId w15:val="{816F2568-BC75-4269-BB94-32B6B46F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F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A25"/>
    <w:rPr>
      <w:rFonts w:ascii="Tahoma" w:hAnsi="Tahoma" w:cs="Tahoma"/>
      <w:sz w:val="16"/>
      <w:szCs w:val="16"/>
    </w:rPr>
  </w:style>
  <w:style w:type="paragraph" w:styleId="Header">
    <w:name w:val="header"/>
    <w:basedOn w:val="Normal"/>
    <w:link w:val="HeaderChar"/>
    <w:uiPriority w:val="99"/>
    <w:unhideWhenUsed/>
    <w:rsid w:val="002344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449C"/>
  </w:style>
  <w:style w:type="paragraph" w:styleId="Footer">
    <w:name w:val="footer"/>
    <w:basedOn w:val="Normal"/>
    <w:link w:val="FooterChar"/>
    <w:uiPriority w:val="99"/>
    <w:unhideWhenUsed/>
    <w:rsid w:val="002344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449C"/>
  </w:style>
  <w:style w:type="table" w:styleId="TableGrid">
    <w:name w:val="Table Grid"/>
    <w:basedOn w:val="TableNormal"/>
    <w:uiPriority w:val="59"/>
    <w:rsid w:val="006A2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3A53"/>
    <w:pPr>
      <w:ind w:left="720"/>
      <w:contextualSpacing/>
    </w:pPr>
  </w:style>
  <w:style w:type="character" w:styleId="Hyperlink">
    <w:name w:val="Hyperlink"/>
    <w:basedOn w:val="DefaultParagraphFont"/>
    <w:uiPriority w:val="99"/>
    <w:unhideWhenUsed/>
    <w:rsid w:val="001E737D"/>
    <w:rPr>
      <w:color w:val="0000FF" w:themeColor="hyperlink"/>
      <w:u w:val="single"/>
    </w:rPr>
  </w:style>
  <w:style w:type="paragraph" w:styleId="NoSpacing">
    <w:name w:val="No Spacing"/>
    <w:uiPriority w:val="1"/>
    <w:qFormat/>
    <w:rsid w:val="000632AF"/>
    <w:pPr>
      <w:spacing w:after="0" w:line="240" w:lineRule="auto"/>
    </w:pPr>
  </w:style>
  <w:style w:type="numbering" w:customStyle="1" w:styleId="Style1">
    <w:name w:val="Style1"/>
    <w:uiPriority w:val="99"/>
    <w:rsid w:val="00490E68"/>
    <w:pPr>
      <w:numPr>
        <w:numId w:val="4"/>
      </w:numPr>
    </w:pPr>
  </w:style>
  <w:style w:type="character" w:styleId="CommentReference">
    <w:name w:val="annotation reference"/>
    <w:basedOn w:val="DefaultParagraphFont"/>
    <w:uiPriority w:val="99"/>
    <w:semiHidden/>
    <w:unhideWhenUsed/>
    <w:rsid w:val="006A5B98"/>
    <w:rPr>
      <w:sz w:val="16"/>
      <w:szCs w:val="16"/>
    </w:rPr>
  </w:style>
  <w:style w:type="paragraph" w:styleId="CommentText">
    <w:name w:val="annotation text"/>
    <w:basedOn w:val="Normal"/>
    <w:link w:val="CommentTextChar"/>
    <w:uiPriority w:val="99"/>
    <w:semiHidden/>
    <w:unhideWhenUsed/>
    <w:rsid w:val="006A5B98"/>
    <w:pPr>
      <w:spacing w:line="240" w:lineRule="auto"/>
    </w:pPr>
    <w:rPr>
      <w:sz w:val="20"/>
      <w:szCs w:val="20"/>
    </w:rPr>
  </w:style>
  <w:style w:type="character" w:customStyle="1" w:styleId="CommentTextChar">
    <w:name w:val="Comment Text Char"/>
    <w:basedOn w:val="DefaultParagraphFont"/>
    <w:link w:val="CommentText"/>
    <w:uiPriority w:val="99"/>
    <w:semiHidden/>
    <w:rsid w:val="006A5B98"/>
    <w:rPr>
      <w:sz w:val="20"/>
      <w:szCs w:val="20"/>
    </w:rPr>
  </w:style>
  <w:style w:type="paragraph" w:styleId="CommentSubject">
    <w:name w:val="annotation subject"/>
    <w:basedOn w:val="CommentText"/>
    <w:next w:val="CommentText"/>
    <w:link w:val="CommentSubjectChar"/>
    <w:uiPriority w:val="99"/>
    <w:semiHidden/>
    <w:unhideWhenUsed/>
    <w:rsid w:val="006A5B98"/>
    <w:rPr>
      <w:b/>
      <w:bCs/>
    </w:rPr>
  </w:style>
  <w:style w:type="character" w:customStyle="1" w:styleId="CommentSubjectChar">
    <w:name w:val="Comment Subject Char"/>
    <w:basedOn w:val="CommentTextChar"/>
    <w:link w:val="CommentSubject"/>
    <w:uiPriority w:val="99"/>
    <w:semiHidden/>
    <w:rsid w:val="006A5B98"/>
    <w:rPr>
      <w:b/>
      <w:bCs/>
      <w:sz w:val="20"/>
      <w:szCs w:val="20"/>
    </w:rPr>
  </w:style>
  <w:style w:type="paragraph" w:styleId="Revision">
    <w:name w:val="Revision"/>
    <w:hidden/>
    <w:uiPriority w:val="99"/>
    <w:semiHidden/>
    <w:rsid w:val="009E311D"/>
    <w:pPr>
      <w:spacing w:after="0" w:line="240" w:lineRule="auto"/>
    </w:pPr>
  </w:style>
  <w:style w:type="character" w:styleId="FollowedHyperlink">
    <w:name w:val="FollowedHyperlink"/>
    <w:basedOn w:val="DefaultParagraphFont"/>
    <w:uiPriority w:val="99"/>
    <w:semiHidden/>
    <w:unhideWhenUsed/>
    <w:rsid w:val="00B70DD6"/>
    <w:rPr>
      <w:color w:val="800080" w:themeColor="followedHyperlink"/>
      <w:u w:val="single"/>
    </w:rPr>
  </w:style>
  <w:style w:type="paragraph" w:customStyle="1" w:styleId="BasicParagraph">
    <w:name w:val="[Basic Paragraph]"/>
    <w:basedOn w:val="Normal"/>
    <w:uiPriority w:val="99"/>
    <w:rsid w:val="004D177A"/>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755">
      <w:bodyDiv w:val="1"/>
      <w:marLeft w:val="0"/>
      <w:marRight w:val="0"/>
      <w:marTop w:val="0"/>
      <w:marBottom w:val="0"/>
      <w:divBdr>
        <w:top w:val="none" w:sz="0" w:space="0" w:color="auto"/>
        <w:left w:val="none" w:sz="0" w:space="0" w:color="auto"/>
        <w:bottom w:val="none" w:sz="0" w:space="0" w:color="auto"/>
        <w:right w:val="none" w:sz="0" w:space="0" w:color="auto"/>
      </w:divBdr>
    </w:div>
    <w:div w:id="15740317">
      <w:bodyDiv w:val="1"/>
      <w:marLeft w:val="0"/>
      <w:marRight w:val="0"/>
      <w:marTop w:val="0"/>
      <w:marBottom w:val="0"/>
      <w:divBdr>
        <w:top w:val="none" w:sz="0" w:space="0" w:color="auto"/>
        <w:left w:val="none" w:sz="0" w:space="0" w:color="auto"/>
        <w:bottom w:val="none" w:sz="0" w:space="0" w:color="auto"/>
        <w:right w:val="none" w:sz="0" w:space="0" w:color="auto"/>
      </w:divBdr>
    </w:div>
    <w:div w:id="57359670">
      <w:bodyDiv w:val="1"/>
      <w:marLeft w:val="0"/>
      <w:marRight w:val="0"/>
      <w:marTop w:val="0"/>
      <w:marBottom w:val="0"/>
      <w:divBdr>
        <w:top w:val="none" w:sz="0" w:space="0" w:color="auto"/>
        <w:left w:val="none" w:sz="0" w:space="0" w:color="auto"/>
        <w:bottom w:val="none" w:sz="0" w:space="0" w:color="auto"/>
        <w:right w:val="none" w:sz="0" w:space="0" w:color="auto"/>
      </w:divBdr>
    </w:div>
    <w:div w:id="90668557">
      <w:bodyDiv w:val="1"/>
      <w:marLeft w:val="0"/>
      <w:marRight w:val="0"/>
      <w:marTop w:val="0"/>
      <w:marBottom w:val="0"/>
      <w:divBdr>
        <w:top w:val="none" w:sz="0" w:space="0" w:color="auto"/>
        <w:left w:val="none" w:sz="0" w:space="0" w:color="auto"/>
        <w:bottom w:val="none" w:sz="0" w:space="0" w:color="auto"/>
        <w:right w:val="none" w:sz="0" w:space="0" w:color="auto"/>
      </w:divBdr>
    </w:div>
    <w:div w:id="95449375">
      <w:bodyDiv w:val="1"/>
      <w:marLeft w:val="0"/>
      <w:marRight w:val="0"/>
      <w:marTop w:val="0"/>
      <w:marBottom w:val="0"/>
      <w:divBdr>
        <w:top w:val="none" w:sz="0" w:space="0" w:color="auto"/>
        <w:left w:val="none" w:sz="0" w:space="0" w:color="auto"/>
        <w:bottom w:val="none" w:sz="0" w:space="0" w:color="auto"/>
        <w:right w:val="none" w:sz="0" w:space="0" w:color="auto"/>
      </w:divBdr>
    </w:div>
    <w:div w:id="106900673">
      <w:bodyDiv w:val="1"/>
      <w:marLeft w:val="0"/>
      <w:marRight w:val="0"/>
      <w:marTop w:val="0"/>
      <w:marBottom w:val="0"/>
      <w:divBdr>
        <w:top w:val="none" w:sz="0" w:space="0" w:color="auto"/>
        <w:left w:val="none" w:sz="0" w:space="0" w:color="auto"/>
        <w:bottom w:val="none" w:sz="0" w:space="0" w:color="auto"/>
        <w:right w:val="none" w:sz="0" w:space="0" w:color="auto"/>
      </w:divBdr>
    </w:div>
    <w:div w:id="136070734">
      <w:bodyDiv w:val="1"/>
      <w:marLeft w:val="0"/>
      <w:marRight w:val="0"/>
      <w:marTop w:val="0"/>
      <w:marBottom w:val="0"/>
      <w:divBdr>
        <w:top w:val="none" w:sz="0" w:space="0" w:color="auto"/>
        <w:left w:val="none" w:sz="0" w:space="0" w:color="auto"/>
        <w:bottom w:val="none" w:sz="0" w:space="0" w:color="auto"/>
        <w:right w:val="none" w:sz="0" w:space="0" w:color="auto"/>
      </w:divBdr>
    </w:div>
    <w:div w:id="208614367">
      <w:bodyDiv w:val="1"/>
      <w:marLeft w:val="0"/>
      <w:marRight w:val="0"/>
      <w:marTop w:val="0"/>
      <w:marBottom w:val="0"/>
      <w:divBdr>
        <w:top w:val="none" w:sz="0" w:space="0" w:color="auto"/>
        <w:left w:val="none" w:sz="0" w:space="0" w:color="auto"/>
        <w:bottom w:val="none" w:sz="0" w:space="0" w:color="auto"/>
        <w:right w:val="none" w:sz="0" w:space="0" w:color="auto"/>
      </w:divBdr>
    </w:div>
    <w:div w:id="304749358">
      <w:bodyDiv w:val="1"/>
      <w:marLeft w:val="0"/>
      <w:marRight w:val="0"/>
      <w:marTop w:val="0"/>
      <w:marBottom w:val="0"/>
      <w:divBdr>
        <w:top w:val="none" w:sz="0" w:space="0" w:color="auto"/>
        <w:left w:val="none" w:sz="0" w:space="0" w:color="auto"/>
        <w:bottom w:val="none" w:sz="0" w:space="0" w:color="auto"/>
        <w:right w:val="none" w:sz="0" w:space="0" w:color="auto"/>
      </w:divBdr>
    </w:div>
    <w:div w:id="310984093">
      <w:bodyDiv w:val="1"/>
      <w:marLeft w:val="0"/>
      <w:marRight w:val="0"/>
      <w:marTop w:val="0"/>
      <w:marBottom w:val="0"/>
      <w:divBdr>
        <w:top w:val="none" w:sz="0" w:space="0" w:color="auto"/>
        <w:left w:val="none" w:sz="0" w:space="0" w:color="auto"/>
        <w:bottom w:val="none" w:sz="0" w:space="0" w:color="auto"/>
        <w:right w:val="none" w:sz="0" w:space="0" w:color="auto"/>
      </w:divBdr>
    </w:div>
    <w:div w:id="329334877">
      <w:bodyDiv w:val="1"/>
      <w:marLeft w:val="0"/>
      <w:marRight w:val="0"/>
      <w:marTop w:val="0"/>
      <w:marBottom w:val="0"/>
      <w:divBdr>
        <w:top w:val="none" w:sz="0" w:space="0" w:color="auto"/>
        <w:left w:val="none" w:sz="0" w:space="0" w:color="auto"/>
        <w:bottom w:val="none" w:sz="0" w:space="0" w:color="auto"/>
        <w:right w:val="none" w:sz="0" w:space="0" w:color="auto"/>
      </w:divBdr>
    </w:div>
    <w:div w:id="346373735">
      <w:bodyDiv w:val="1"/>
      <w:marLeft w:val="0"/>
      <w:marRight w:val="0"/>
      <w:marTop w:val="0"/>
      <w:marBottom w:val="0"/>
      <w:divBdr>
        <w:top w:val="none" w:sz="0" w:space="0" w:color="auto"/>
        <w:left w:val="none" w:sz="0" w:space="0" w:color="auto"/>
        <w:bottom w:val="none" w:sz="0" w:space="0" w:color="auto"/>
        <w:right w:val="none" w:sz="0" w:space="0" w:color="auto"/>
      </w:divBdr>
    </w:div>
    <w:div w:id="421298023">
      <w:bodyDiv w:val="1"/>
      <w:marLeft w:val="0"/>
      <w:marRight w:val="0"/>
      <w:marTop w:val="0"/>
      <w:marBottom w:val="0"/>
      <w:divBdr>
        <w:top w:val="none" w:sz="0" w:space="0" w:color="auto"/>
        <w:left w:val="none" w:sz="0" w:space="0" w:color="auto"/>
        <w:bottom w:val="none" w:sz="0" w:space="0" w:color="auto"/>
        <w:right w:val="none" w:sz="0" w:space="0" w:color="auto"/>
      </w:divBdr>
    </w:div>
    <w:div w:id="449471031">
      <w:bodyDiv w:val="1"/>
      <w:marLeft w:val="0"/>
      <w:marRight w:val="0"/>
      <w:marTop w:val="0"/>
      <w:marBottom w:val="0"/>
      <w:divBdr>
        <w:top w:val="none" w:sz="0" w:space="0" w:color="auto"/>
        <w:left w:val="none" w:sz="0" w:space="0" w:color="auto"/>
        <w:bottom w:val="none" w:sz="0" w:space="0" w:color="auto"/>
        <w:right w:val="none" w:sz="0" w:space="0" w:color="auto"/>
      </w:divBdr>
    </w:div>
    <w:div w:id="478574258">
      <w:bodyDiv w:val="1"/>
      <w:marLeft w:val="0"/>
      <w:marRight w:val="0"/>
      <w:marTop w:val="0"/>
      <w:marBottom w:val="0"/>
      <w:divBdr>
        <w:top w:val="none" w:sz="0" w:space="0" w:color="auto"/>
        <w:left w:val="none" w:sz="0" w:space="0" w:color="auto"/>
        <w:bottom w:val="none" w:sz="0" w:space="0" w:color="auto"/>
        <w:right w:val="none" w:sz="0" w:space="0" w:color="auto"/>
      </w:divBdr>
    </w:div>
    <w:div w:id="507184283">
      <w:bodyDiv w:val="1"/>
      <w:marLeft w:val="0"/>
      <w:marRight w:val="0"/>
      <w:marTop w:val="0"/>
      <w:marBottom w:val="0"/>
      <w:divBdr>
        <w:top w:val="none" w:sz="0" w:space="0" w:color="auto"/>
        <w:left w:val="none" w:sz="0" w:space="0" w:color="auto"/>
        <w:bottom w:val="none" w:sz="0" w:space="0" w:color="auto"/>
        <w:right w:val="none" w:sz="0" w:space="0" w:color="auto"/>
      </w:divBdr>
    </w:div>
    <w:div w:id="512838890">
      <w:bodyDiv w:val="1"/>
      <w:marLeft w:val="0"/>
      <w:marRight w:val="0"/>
      <w:marTop w:val="0"/>
      <w:marBottom w:val="0"/>
      <w:divBdr>
        <w:top w:val="none" w:sz="0" w:space="0" w:color="auto"/>
        <w:left w:val="none" w:sz="0" w:space="0" w:color="auto"/>
        <w:bottom w:val="none" w:sz="0" w:space="0" w:color="auto"/>
        <w:right w:val="none" w:sz="0" w:space="0" w:color="auto"/>
      </w:divBdr>
    </w:div>
    <w:div w:id="564998837">
      <w:bodyDiv w:val="1"/>
      <w:marLeft w:val="0"/>
      <w:marRight w:val="0"/>
      <w:marTop w:val="0"/>
      <w:marBottom w:val="0"/>
      <w:divBdr>
        <w:top w:val="none" w:sz="0" w:space="0" w:color="auto"/>
        <w:left w:val="none" w:sz="0" w:space="0" w:color="auto"/>
        <w:bottom w:val="none" w:sz="0" w:space="0" w:color="auto"/>
        <w:right w:val="none" w:sz="0" w:space="0" w:color="auto"/>
      </w:divBdr>
    </w:div>
    <w:div w:id="703749386">
      <w:bodyDiv w:val="1"/>
      <w:marLeft w:val="0"/>
      <w:marRight w:val="0"/>
      <w:marTop w:val="0"/>
      <w:marBottom w:val="0"/>
      <w:divBdr>
        <w:top w:val="none" w:sz="0" w:space="0" w:color="auto"/>
        <w:left w:val="none" w:sz="0" w:space="0" w:color="auto"/>
        <w:bottom w:val="none" w:sz="0" w:space="0" w:color="auto"/>
        <w:right w:val="none" w:sz="0" w:space="0" w:color="auto"/>
      </w:divBdr>
    </w:div>
    <w:div w:id="710688581">
      <w:bodyDiv w:val="1"/>
      <w:marLeft w:val="0"/>
      <w:marRight w:val="0"/>
      <w:marTop w:val="0"/>
      <w:marBottom w:val="0"/>
      <w:divBdr>
        <w:top w:val="none" w:sz="0" w:space="0" w:color="auto"/>
        <w:left w:val="none" w:sz="0" w:space="0" w:color="auto"/>
        <w:bottom w:val="none" w:sz="0" w:space="0" w:color="auto"/>
        <w:right w:val="none" w:sz="0" w:space="0" w:color="auto"/>
      </w:divBdr>
    </w:div>
    <w:div w:id="716441860">
      <w:bodyDiv w:val="1"/>
      <w:marLeft w:val="0"/>
      <w:marRight w:val="0"/>
      <w:marTop w:val="0"/>
      <w:marBottom w:val="0"/>
      <w:divBdr>
        <w:top w:val="none" w:sz="0" w:space="0" w:color="auto"/>
        <w:left w:val="none" w:sz="0" w:space="0" w:color="auto"/>
        <w:bottom w:val="none" w:sz="0" w:space="0" w:color="auto"/>
        <w:right w:val="none" w:sz="0" w:space="0" w:color="auto"/>
      </w:divBdr>
    </w:div>
    <w:div w:id="811412421">
      <w:bodyDiv w:val="1"/>
      <w:marLeft w:val="0"/>
      <w:marRight w:val="0"/>
      <w:marTop w:val="0"/>
      <w:marBottom w:val="0"/>
      <w:divBdr>
        <w:top w:val="none" w:sz="0" w:space="0" w:color="auto"/>
        <w:left w:val="none" w:sz="0" w:space="0" w:color="auto"/>
        <w:bottom w:val="none" w:sz="0" w:space="0" w:color="auto"/>
        <w:right w:val="none" w:sz="0" w:space="0" w:color="auto"/>
      </w:divBdr>
    </w:div>
    <w:div w:id="865289995">
      <w:bodyDiv w:val="1"/>
      <w:marLeft w:val="0"/>
      <w:marRight w:val="0"/>
      <w:marTop w:val="0"/>
      <w:marBottom w:val="0"/>
      <w:divBdr>
        <w:top w:val="none" w:sz="0" w:space="0" w:color="auto"/>
        <w:left w:val="none" w:sz="0" w:space="0" w:color="auto"/>
        <w:bottom w:val="none" w:sz="0" w:space="0" w:color="auto"/>
        <w:right w:val="none" w:sz="0" w:space="0" w:color="auto"/>
      </w:divBdr>
    </w:div>
    <w:div w:id="875506612">
      <w:bodyDiv w:val="1"/>
      <w:marLeft w:val="0"/>
      <w:marRight w:val="0"/>
      <w:marTop w:val="0"/>
      <w:marBottom w:val="0"/>
      <w:divBdr>
        <w:top w:val="none" w:sz="0" w:space="0" w:color="auto"/>
        <w:left w:val="none" w:sz="0" w:space="0" w:color="auto"/>
        <w:bottom w:val="none" w:sz="0" w:space="0" w:color="auto"/>
        <w:right w:val="none" w:sz="0" w:space="0" w:color="auto"/>
      </w:divBdr>
    </w:div>
    <w:div w:id="935165511">
      <w:bodyDiv w:val="1"/>
      <w:marLeft w:val="0"/>
      <w:marRight w:val="0"/>
      <w:marTop w:val="0"/>
      <w:marBottom w:val="0"/>
      <w:divBdr>
        <w:top w:val="none" w:sz="0" w:space="0" w:color="auto"/>
        <w:left w:val="none" w:sz="0" w:space="0" w:color="auto"/>
        <w:bottom w:val="none" w:sz="0" w:space="0" w:color="auto"/>
        <w:right w:val="none" w:sz="0" w:space="0" w:color="auto"/>
      </w:divBdr>
    </w:div>
    <w:div w:id="1029065189">
      <w:bodyDiv w:val="1"/>
      <w:marLeft w:val="0"/>
      <w:marRight w:val="0"/>
      <w:marTop w:val="0"/>
      <w:marBottom w:val="0"/>
      <w:divBdr>
        <w:top w:val="none" w:sz="0" w:space="0" w:color="auto"/>
        <w:left w:val="none" w:sz="0" w:space="0" w:color="auto"/>
        <w:bottom w:val="none" w:sz="0" w:space="0" w:color="auto"/>
        <w:right w:val="none" w:sz="0" w:space="0" w:color="auto"/>
      </w:divBdr>
    </w:div>
    <w:div w:id="1119296715">
      <w:bodyDiv w:val="1"/>
      <w:marLeft w:val="0"/>
      <w:marRight w:val="0"/>
      <w:marTop w:val="0"/>
      <w:marBottom w:val="0"/>
      <w:divBdr>
        <w:top w:val="none" w:sz="0" w:space="0" w:color="auto"/>
        <w:left w:val="none" w:sz="0" w:space="0" w:color="auto"/>
        <w:bottom w:val="none" w:sz="0" w:space="0" w:color="auto"/>
        <w:right w:val="none" w:sz="0" w:space="0" w:color="auto"/>
      </w:divBdr>
    </w:div>
    <w:div w:id="1145470826">
      <w:bodyDiv w:val="1"/>
      <w:marLeft w:val="0"/>
      <w:marRight w:val="0"/>
      <w:marTop w:val="0"/>
      <w:marBottom w:val="0"/>
      <w:divBdr>
        <w:top w:val="none" w:sz="0" w:space="0" w:color="auto"/>
        <w:left w:val="none" w:sz="0" w:space="0" w:color="auto"/>
        <w:bottom w:val="none" w:sz="0" w:space="0" w:color="auto"/>
        <w:right w:val="none" w:sz="0" w:space="0" w:color="auto"/>
      </w:divBdr>
    </w:div>
    <w:div w:id="1169758581">
      <w:bodyDiv w:val="1"/>
      <w:marLeft w:val="0"/>
      <w:marRight w:val="0"/>
      <w:marTop w:val="0"/>
      <w:marBottom w:val="0"/>
      <w:divBdr>
        <w:top w:val="none" w:sz="0" w:space="0" w:color="auto"/>
        <w:left w:val="none" w:sz="0" w:space="0" w:color="auto"/>
        <w:bottom w:val="none" w:sz="0" w:space="0" w:color="auto"/>
        <w:right w:val="none" w:sz="0" w:space="0" w:color="auto"/>
      </w:divBdr>
    </w:div>
    <w:div w:id="1195849110">
      <w:bodyDiv w:val="1"/>
      <w:marLeft w:val="0"/>
      <w:marRight w:val="0"/>
      <w:marTop w:val="0"/>
      <w:marBottom w:val="0"/>
      <w:divBdr>
        <w:top w:val="none" w:sz="0" w:space="0" w:color="auto"/>
        <w:left w:val="none" w:sz="0" w:space="0" w:color="auto"/>
        <w:bottom w:val="none" w:sz="0" w:space="0" w:color="auto"/>
        <w:right w:val="none" w:sz="0" w:space="0" w:color="auto"/>
      </w:divBdr>
    </w:div>
    <w:div w:id="1280260619">
      <w:bodyDiv w:val="1"/>
      <w:marLeft w:val="0"/>
      <w:marRight w:val="0"/>
      <w:marTop w:val="0"/>
      <w:marBottom w:val="0"/>
      <w:divBdr>
        <w:top w:val="none" w:sz="0" w:space="0" w:color="auto"/>
        <w:left w:val="none" w:sz="0" w:space="0" w:color="auto"/>
        <w:bottom w:val="none" w:sz="0" w:space="0" w:color="auto"/>
        <w:right w:val="none" w:sz="0" w:space="0" w:color="auto"/>
      </w:divBdr>
    </w:div>
    <w:div w:id="1323849770">
      <w:bodyDiv w:val="1"/>
      <w:marLeft w:val="0"/>
      <w:marRight w:val="0"/>
      <w:marTop w:val="0"/>
      <w:marBottom w:val="0"/>
      <w:divBdr>
        <w:top w:val="none" w:sz="0" w:space="0" w:color="auto"/>
        <w:left w:val="none" w:sz="0" w:space="0" w:color="auto"/>
        <w:bottom w:val="none" w:sz="0" w:space="0" w:color="auto"/>
        <w:right w:val="none" w:sz="0" w:space="0" w:color="auto"/>
      </w:divBdr>
    </w:div>
    <w:div w:id="1326783241">
      <w:bodyDiv w:val="1"/>
      <w:marLeft w:val="0"/>
      <w:marRight w:val="0"/>
      <w:marTop w:val="0"/>
      <w:marBottom w:val="0"/>
      <w:divBdr>
        <w:top w:val="none" w:sz="0" w:space="0" w:color="auto"/>
        <w:left w:val="none" w:sz="0" w:space="0" w:color="auto"/>
        <w:bottom w:val="none" w:sz="0" w:space="0" w:color="auto"/>
        <w:right w:val="none" w:sz="0" w:space="0" w:color="auto"/>
      </w:divBdr>
    </w:div>
    <w:div w:id="1328173918">
      <w:bodyDiv w:val="1"/>
      <w:marLeft w:val="0"/>
      <w:marRight w:val="0"/>
      <w:marTop w:val="100"/>
      <w:marBottom w:val="100"/>
      <w:divBdr>
        <w:top w:val="none" w:sz="0" w:space="0" w:color="auto"/>
        <w:left w:val="none" w:sz="0" w:space="0" w:color="auto"/>
        <w:bottom w:val="none" w:sz="0" w:space="0" w:color="auto"/>
        <w:right w:val="none" w:sz="0" w:space="0" w:color="auto"/>
      </w:divBdr>
      <w:divsChild>
        <w:div w:id="1249195874">
          <w:marLeft w:val="0"/>
          <w:marRight w:val="0"/>
          <w:marTop w:val="0"/>
          <w:marBottom w:val="0"/>
          <w:divBdr>
            <w:top w:val="none" w:sz="0" w:space="0" w:color="auto"/>
            <w:left w:val="none" w:sz="0" w:space="0" w:color="auto"/>
            <w:bottom w:val="none" w:sz="0" w:space="0" w:color="auto"/>
            <w:right w:val="none" w:sz="0" w:space="0" w:color="auto"/>
          </w:divBdr>
          <w:divsChild>
            <w:div w:id="620653207">
              <w:marLeft w:val="0"/>
              <w:marRight w:val="0"/>
              <w:marTop w:val="900"/>
              <w:marBottom w:val="0"/>
              <w:divBdr>
                <w:top w:val="none" w:sz="0" w:space="0" w:color="auto"/>
                <w:left w:val="none" w:sz="0" w:space="0" w:color="auto"/>
                <w:bottom w:val="none" w:sz="0" w:space="0" w:color="auto"/>
                <w:right w:val="none" w:sz="0" w:space="0" w:color="auto"/>
              </w:divBdr>
              <w:divsChild>
                <w:div w:id="225645758">
                  <w:marLeft w:val="0"/>
                  <w:marRight w:val="0"/>
                  <w:marTop w:val="0"/>
                  <w:marBottom w:val="0"/>
                  <w:divBdr>
                    <w:top w:val="none" w:sz="0" w:space="0" w:color="auto"/>
                    <w:left w:val="none" w:sz="0" w:space="0" w:color="auto"/>
                    <w:bottom w:val="none" w:sz="0" w:space="0" w:color="auto"/>
                    <w:right w:val="none" w:sz="0" w:space="0" w:color="auto"/>
                  </w:divBdr>
                </w:div>
                <w:div w:id="115213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503192">
      <w:bodyDiv w:val="1"/>
      <w:marLeft w:val="0"/>
      <w:marRight w:val="0"/>
      <w:marTop w:val="0"/>
      <w:marBottom w:val="0"/>
      <w:divBdr>
        <w:top w:val="none" w:sz="0" w:space="0" w:color="auto"/>
        <w:left w:val="none" w:sz="0" w:space="0" w:color="auto"/>
        <w:bottom w:val="none" w:sz="0" w:space="0" w:color="auto"/>
        <w:right w:val="none" w:sz="0" w:space="0" w:color="auto"/>
      </w:divBdr>
    </w:div>
    <w:div w:id="1433740572">
      <w:bodyDiv w:val="1"/>
      <w:marLeft w:val="0"/>
      <w:marRight w:val="0"/>
      <w:marTop w:val="0"/>
      <w:marBottom w:val="0"/>
      <w:divBdr>
        <w:top w:val="none" w:sz="0" w:space="0" w:color="auto"/>
        <w:left w:val="none" w:sz="0" w:space="0" w:color="auto"/>
        <w:bottom w:val="none" w:sz="0" w:space="0" w:color="auto"/>
        <w:right w:val="none" w:sz="0" w:space="0" w:color="auto"/>
      </w:divBdr>
    </w:div>
    <w:div w:id="1571767661">
      <w:bodyDiv w:val="1"/>
      <w:marLeft w:val="0"/>
      <w:marRight w:val="0"/>
      <w:marTop w:val="0"/>
      <w:marBottom w:val="0"/>
      <w:divBdr>
        <w:top w:val="none" w:sz="0" w:space="0" w:color="auto"/>
        <w:left w:val="none" w:sz="0" w:space="0" w:color="auto"/>
        <w:bottom w:val="none" w:sz="0" w:space="0" w:color="auto"/>
        <w:right w:val="none" w:sz="0" w:space="0" w:color="auto"/>
      </w:divBdr>
    </w:div>
    <w:div w:id="1585258884">
      <w:bodyDiv w:val="1"/>
      <w:marLeft w:val="0"/>
      <w:marRight w:val="0"/>
      <w:marTop w:val="0"/>
      <w:marBottom w:val="0"/>
      <w:divBdr>
        <w:top w:val="none" w:sz="0" w:space="0" w:color="auto"/>
        <w:left w:val="none" w:sz="0" w:space="0" w:color="auto"/>
        <w:bottom w:val="none" w:sz="0" w:space="0" w:color="auto"/>
        <w:right w:val="none" w:sz="0" w:space="0" w:color="auto"/>
      </w:divBdr>
    </w:div>
    <w:div w:id="1661998541">
      <w:bodyDiv w:val="1"/>
      <w:marLeft w:val="0"/>
      <w:marRight w:val="0"/>
      <w:marTop w:val="0"/>
      <w:marBottom w:val="0"/>
      <w:divBdr>
        <w:top w:val="none" w:sz="0" w:space="0" w:color="auto"/>
        <w:left w:val="none" w:sz="0" w:space="0" w:color="auto"/>
        <w:bottom w:val="none" w:sz="0" w:space="0" w:color="auto"/>
        <w:right w:val="none" w:sz="0" w:space="0" w:color="auto"/>
      </w:divBdr>
    </w:div>
    <w:div w:id="1704942634">
      <w:bodyDiv w:val="1"/>
      <w:marLeft w:val="0"/>
      <w:marRight w:val="0"/>
      <w:marTop w:val="0"/>
      <w:marBottom w:val="0"/>
      <w:divBdr>
        <w:top w:val="none" w:sz="0" w:space="0" w:color="auto"/>
        <w:left w:val="none" w:sz="0" w:space="0" w:color="auto"/>
        <w:bottom w:val="none" w:sz="0" w:space="0" w:color="auto"/>
        <w:right w:val="none" w:sz="0" w:space="0" w:color="auto"/>
      </w:divBdr>
    </w:div>
    <w:div w:id="1807308880">
      <w:bodyDiv w:val="1"/>
      <w:marLeft w:val="0"/>
      <w:marRight w:val="0"/>
      <w:marTop w:val="0"/>
      <w:marBottom w:val="0"/>
      <w:divBdr>
        <w:top w:val="none" w:sz="0" w:space="0" w:color="auto"/>
        <w:left w:val="none" w:sz="0" w:space="0" w:color="auto"/>
        <w:bottom w:val="none" w:sz="0" w:space="0" w:color="auto"/>
        <w:right w:val="none" w:sz="0" w:space="0" w:color="auto"/>
      </w:divBdr>
    </w:div>
    <w:div w:id="1810441252">
      <w:bodyDiv w:val="1"/>
      <w:marLeft w:val="0"/>
      <w:marRight w:val="0"/>
      <w:marTop w:val="0"/>
      <w:marBottom w:val="0"/>
      <w:divBdr>
        <w:top w:val="none" w:sz="0" w:space="0" w:color="auto"/>
        <w:left w:val="none" w:sz="0" w:space="0" w:color="auto"/>
        <w:bottom w:val="none" w:sz="0" w:space="0" w:color="auto"/>
        <w:right w:val="none" w:sz="0" w:space="0" w:color="auto"/>
      </w:divBdr>
    </w:div>
    <w:div w:id="1815491148">
      <w:bodyDiv w:val="1"/>
      <w:marLeft w:val="0"/>
      <w:marRight w:val="0"/>
      <w:marTop w:val="0"/>
      <w:marBottom w:val="0"/>
      <w:divBdr>
        <w:top w:val="none" w:sz="0" w:space="0" w:color="auto"/>
        <w:left w:val="none" w:sz="0" w:space="0" w:color="auto"/>
        <w:bottom w:val="none" w:sz="0" w:space="0" w:color="auto"/>
        <w:right w:val="none" w:sz="0" w:space="0" w:color="auto"/>
      </w:divBdr>
    </w:div>
    <w:div w:id="1845705596">
      <w:bodyDiv w:val="1"/>
      <w:marLeft w:val="0"/>
      <w:marRight w:val="0"/>
      <w:marTop w:val="0"/>
      <w:marBottom w:val="0"/>
      <w:divBdr>
        <w:top w:val="none" w:sz="0" w:space="0" w:color="auto"/>
        <w:left w:val="none" w:sz="0" w:space="0" w:color="auto"/>
        <w:bottom w:val="none" w:sz="0" w:space="0" w:color="auto"/>
        <w:right w:val="none" w:sz="0" w:space="0" w:color="auto"/>
      </w:divBdr>
    </w:div>
    <w:div w:id="1881429641">
      <w:bodyDiv w:val="1"/>
      <w:marLeft w:val="0"/>
      <w:marRight w:val="0"/>
      <w:marTop w:val="0"/>
      <w:marBottom w:val="0"/>
      <w:divBdr>
        <w:top w:val="none" w:sz="0" w:space="0" w:color="auto"/>
        <w:left w:val="none" w:sz="0" w:space="0" w:color="auto"/>
        <w:bottom w:val="none" w:sz="0" w:space="0" w:color="auto"/>
        <w:right w:val="none" w:sz="0" w:space="0" w:color="auto"/>
      </w:divBdr>
    </w:div>
    <w:div w:id="1949198110">
      <w:bodyDiv w:val="1"/>
      <w:marLeft w:val="0"/>
      <w:marRight w:val="0"/>
      <w:marTop w:val="0"/>
      <w:marBottom w:val="0"/>
      <w:divBdr>
        <w:top w:val="none" w:sz="0" w:space="0" w:color="auto"/>
        <w:left w:val="none" w:sz="0" w:space="0" w:color="auto"/>
        <w:bottom w:val="none" w:sz="0" w:space="0" w:color="auto"/>
        <w:right w:val="none" w:sz="0" w:space="0" w:color="auto"/>
      </w:divBdr>
    </w:div>
    <w:div w:id="1966034545">
      <w:bodyDiv w:val="1"/>
      <w:marLeft w:val="0"/>
      <w:marRight w:val="0"/>
      <w:marTop w:val="0"/>
      <w:marBottom w:val="0"/>
      <w:divBdr>
        <w:top w:val="none" w:sz="0" w:space="0" w:color="auto"/>
        <w:left w:val="none" w:sz="0" w:space="0" w:color="auto"/>
        <w:bottom w:val="none" w:sz="0" w:space="0" w:color="auto"/>
        <w:right w:val="none" w:sz="0" w:space="0" w:color="auto"/>
      </w:divBdr>
    </w:div>
    <w:div w:id="1972786634">
      <w:bodyDiv w:val="1"/>
      <w:marLeft w:val="0"/>
      <w:marRight w:val="0"/>
      <w:marTop w:val="0"/>
      <w:marBottom w:val="0"/>
      <w:divBdr>
        <w:top w:val="none" w:sz="0" w:space="0" w:color="auto"/>
        <w:left w:val="none" w:sz="0" w:space="0" w:color="auto"/>
        <w:bottom w:val="none" w:sz="0" w:space="0" w:color="auto"/>
        <w:right w:val="none" w:sz="0" w:space="0" w:color="auto"/>
      </w:divBdr>
    </w:div>
    <w:div w:id="207146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census.gov/foreign-trade/statistics/notices/20191205_exhibit17.html" TargetMode="External"/><Relationship Id="rId39" Type="http://schemas.openxmlformats.org/officeDocument/2006/relationships/hyperlink" Target="https://apps.bea.gov/API/signup/index.cfm" TargetMode="External"/><Relationship Id="rId3" Type="http://schemas.openxmlformats.org/officeDocument/2006/relationships/customXml" Target="../customXml/item2.xml"/><Relationship Id="rId21" Type="http://schemas.openxmlformats.org/officeDocument/2006/relationships/image" Target="media/image5.png"/><Relationship Id="rId34" Type="http://schemas.openxmlformats.org/officeDocument/2006/relationships/hyperlink" Target="https://apps.bea.gov/iTable/iTable.cfm?reqid=62&amp;step=6&amp;isuri=1&amp;6210=1&amp;6200=48" TargetMode="External"/><Relationship Id="rId42"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https://www.bea.gov/news/schedule" TargetMode="External"/><Relationship Id="rId33" Type="http://schemas.openxmlformats.org/officeDocument/2006/relationships/hyperlink" Target="https://www.bea.gov/data/intl-trade-investment/international-services-expanded" TargetMode="External"/><Relationship Id="rId38" Type="http://schemas.openxmlformats.org/officeDocument/2006/relationships/hyperlink" Target="https://www.census.gov/developers/"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image" Target="media/image4.jpg"/><Relationship Id="rId29" Type="http://schemas.openxmlformats.org/officeDocument/2006/relationships/hyperlink" Target="https://www.census.gov/econ/indicators/index.html" TargetMode="External"/><Relationship Id="rId41" Type="http://schemas.openxmlformats.org/officeDocument/2006/relationships/hyperlink" Target="https://fred.stlouisfed.org/fred-mobile/index.php?utm_source=census&amp;utm_medium=pdf&amp;utm_campaign=mobile_app" TargetMode="Externa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hyperlink" Target="https://www.census.gov/economic-indicators/" TargetMode="External"/><Relationship Id="rId32" Type="http://schemas.openxmlformats.org/officeDocument/2006/relationships/hyperlink" Target="https://apps.bea.gov/scb/index.htm" TargetMode="External"/><Relationship Id="rId37" Type="http://schemas.openxmlformats.org/officeDocument/2006/relationships/hyperlink" Target="https://www.bea.gov/data/intl-trade-investment/international-trade-goods-and-services" TargetMode="External"/><Relationship Id="rId40" Type="http://schemas.openxmlformats.org/officeDocument/2006/relationships/image" Target="media/image6.jpeg"/><Relationship Id="rId5" Type="http://schemas.openxmlformats.org/officeDocument/2006/relationships/customXml" Target="../customXml/item4.xml"/><Relationship Id="rId15" Type="http://schemas.openxmlformats.org/officeDocument/2006/relationships/footer" Target="footer1.xml"/><Relationship Id="rId23" Type="http://schemas.openxmlformats.org/officeDocument/2006/relationships/hyperlink" Target="https://www.bea.gov/data/intl-trade-investment/international-trade-goods-and-services" TargetMode="External"/><Relationship Id="rId28" Type="http://schemas.openxmlformats.org/officeDocument/2006/relationships/hyperlink" Target="https://www.census.gov/foreign-trade/aip/quality_profile10032014.pdf" TargetMode="External"/><Relationship Id="rId36" Type="http://schemas.openxmlformats.org/officeDocument/2006/relationships/hyperlink" Target="https://www.census.gov/ft900" TargetMode="External"/><Relationship Id="rId10" Type="http://schemas.openxmlformats.org/officeDocument/2006/relationships/webSettings" Target="webSettings.xml"/><Relationship Id="rId19" Type="http://schemas.openxmlformats.org/officeDocument/2006/relationships/image" Target="media/image3.png"/><Relationship Id="rId31" Type="http://schemas.openxmlformats.org/officeDocument/2006/relationships/hyperlink" Target="https://www.bea.gov/data/gdp/gross-domestic-product" TargetMode="Externa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s://www.census.gov/foreign-trade/Press-Release/current_press_release/index.html" TargetMode="External"/><Relationship Id="rId27" Type="http://schemas.openxmlformats.org/officeDocument/2006/relationships/hyperlink" Target="file:///\\econ019fs\ftd53\tdsb2\Press%20Release\Current\Text\Linked%20text\eid.international.trade.data@census.gov" TargetMode="External"/><Relationship Id="rId30" Type="http://schemas.openxmlformats.org/officeDocument/2006/relationships/hyperlink" Target="https://www.census.gov/econ/indicators/faqs.html" TargetMode="External"/><Relationship Id="rId35" Type="http://schemas.openxmlformats.org/officeDocument/2006/relationships/hyperlink" Target="https://apps.bea.gov/scb/pdf/2008/05%20May/0508_methods.pdf" TargetMode="External"/><Relationship Id="rId43"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InternationalAccounts@bea.gov" TargetMode="External"/><Relationship Id="rId2" Type="http://schemas.openxmlformats.org/officeDocument/2006/relationships/hyperlink" Target="mailto:pio@census.gov" TargetMode="External"/><Relationship Id="rId1" Type="http://schemas.openxmlformats.org/officeDocument/2006/relationships/hyperlink" Target="mailto:eid.international.trade.data@census.gov" TargetMode="External"/><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53CA223-AFDD-45FE-857B-D99B65785795}">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8D10C07BF10E45A5750F42D95719FD" ma:contentTypeVersion="19" ma:contentTypeDescription="Create a new document." ma:contentTypeScope="" ma:versionID="73736f085d270f388ec939c1158a1672">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11/19/2015 11:08:58 PM</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11/19/2015 11:08:58 PM</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11/19/2015 11:08:58 PM</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6247B-33F3-4576-97A8-021954BFA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B5C5D82-4BA1-4476-9BB5-2ECF5CB23216}">
  <ds:schemaRefs>
    <ds:schemaRef ds:uri="http://schemas.microsoft.com/sharepoint/events"/>
  </ds:schemaRefs>
</ds:datastoreItem>
</file>

<file path=customXml/itemProps3.xml><?xml version="1.0" encoding="utf-8"?>
<ds:datastoreItem xmlns:ds="http://schemas.openxmlformats.org/officeDocument/2006/customXml" ds:itemID="{E39479DD-8E46-498B-A4A3-90D758419368}">
  <ds:schemaRefs>
    <ds:schemaRef ds:uri="http://schemas.microsoft.com/sharepoint/v3/contenttype/forms"/>
  </ds:schemaRefs>
</ds:datastoreItem>
</file>

<file path=customXml/itemProps4.xml><?xml version="1.0" encoding="utf-8"?>
<ds:datastoreItem xmlns:ds="http://schemas.openxmlformats.org/officeDocument/2006/customXml" ds:itemID="{2D367E6F-578F-4F4D-A909-03B8AB263DC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B5727493-09AF-4394-92C5-325E256BF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A99D3ADE</Template>
  <TotalTime>1</TotalTime>
  <Pages>20</Pages>
  <Words>7061</Words>
  <Characters>40248</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U.S. Department of Commerce</Company>
  <LinksUpToDate>false</LinksUpToDate>
  <CharactersWithSpaces>47215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E Kafchinski</dc:creator>
  <cp:lastModifiedBy>Jeremy Sanchez (CENSUS/EID FED)</cp:lastModifiedBy>
  <cp:revision>2</cp:revision>
  <cp:lastPrinted>2020-02-04T15:41:00Z</cp:lastPrinted>
  <dcterms:created xsi:type="dcterms:W3CDTF">2020-02-04T19:37:00Z</dcterms:created>
  <dcterms:modified xsi:type="dcterms:W3CDTF">2020-02-04T19:37:00Z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0x010100B88D10C07BF10E45A5750F42D95719FD</vt:lpwstr>
  </property>
  <property fmtid="{D5CDD505-2E9C-101B-9397-08002B2CF9AE}" pid="3" name="_AdHocReviewCycleID">
    <vt:i4>486907600</vt:i4>
  </property>
  <property fmtid="{D5CDD505-2E9C-101B-9397-08002B2CF9AE}" pid="4" name="_NewReviewCycle">
    <vt:lpwstr/>
  </property>
  <property fmtid="{D5CDD505-2E9C-101B-9397-08002B2CF9AE}" pid="5" name="_EmailSubject">
    <vt:lpwstr>FT-900 Release Standardization</vt:lpwstr>
  </property>
  <property fmtid="{D5CDD505-2E9C-101B-9397-08002B2CF9AE}" pid="6" name="_AuthorEmail">
    <vt:lpwstr>Mai-Chi.Hoang@bea.gov</vt:lpwstr>
  </property>
  <property fmtid="{D5CDD505-2E9C-101B-9397-08002B2CF9AE}" pid="7" name="_AuthorEmailDisplayName">
    <vt:lpwstr>Hoang, Mai-Chi</vt:lpwstr>
  </property>
  <property fmtid="{D5CDD505-2E9C-101B-9397-08002B2CF9AE}" pid="8" name="_PreviousAdHocReviewCycleID">
    <vt:i4>-1189352728</vt:i4>
  </property>
  <property fmtid="{D5CDD505-2E9C-101B-9397-08002B2CF9AE}" pid="9" name="_ReviewingToolsShownOnce">
    <vt:lpwstr/>
  </property>
</Properties>
</file>